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eastAsia="楷体_GB2312"/>
          <w:sz w:val="32"/>
          <w:szCs w:val="32"/>
        </w:rPr>
      </w:pPr>
      <w:bookmarkStart w:id="15" w:name="_GoBack"/>
      <w:bookmarkEnd w:id="15"/>
      <w:r>
        <w:rPr>
          <w:rFonts w:hint="eastAsia" w:eastAsia="楷体_GB2312"/>
          <w:sz w:val="32"/>
          <w:szCs w:val="32"/>
        </w:rPr>
        <w:t>附件：项目支出绩效评价报告及评价表</w:t>
      </w:r>
    </w:p>
    <w:p>
      <w:pPr>
        <w:spacing w:line="600" w:lineRule="exact"/>
        <w:rPr>
          <w:rFonts w:hint="eastAsia" w:eastAsia="楷体_GB2312"/>
          <w:sz w:val="32"/>
          <w:szCs w:val="32"/>
        </w:rPr>
      </w:pPr>
      <w:r>
        <w:rPr>
          <w:rFonts w:eastAsia="楷体_GB2312"/>
          <w:sz w:val="32"/>
          <w:szCs w:val="32"/>
        </w:rPr>
        <w:t>项目一</w:t>
      </w:r>
      <w:r>
        <w:rPr>
          <w:rFonts w:hint="eastAsia" w:eastAsia="楷体_GB2312"/>
          <w:sz w:val="32"/>
          <w:szCs w:val="32"/>
        </w:rPr>
        <w:t>：</w:t>
      </w:r>
    </w:p>
    <w:p>
      <w:pPr>
        <w:spacing w:line="600" w:lineRule="exact"/>
        <w:ind w:firstLine="880" w:firstLineChars="20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报纸印刷用新闻纸项目支出绩效评价报告</w:t>
      </w:r>
    </w:p>
    <w:p>
      <w:pPr>
        <w:topLinePunct/>
        <w:spacing w:line="600" w:lineRule="exact"/>
        <w:ind w:firstLine="640" w:firstLineChars="200"/>
        <w:rPr>
          <w:rFonts w:eastAsia="黑体"/>
          <w:sz w:val="32"/>
          <w:szCs w:val="32"/>
        </w:rPr>
      </w:pPr>
    </w:p>
    <w:p>
      <w:pPr>
        <w:topLinePunct/>
        <w:spacing w:line="600" w:lineRule="exact"/>
        <w:ind w:firstLine="640" w:firstLineChars="200"/>
        <w:rPr>
          <w:rFonts w:eastAsia="黑体"/>
          <w:sz w:val="32"/>
          <w:szCs w:val="32"/>
        </w:rPr>
      </w:pPr>
      <w:r>
        <w:rPr>
          <w:rFonts w:eastAsia="黑体"/>
          <w:sz w:val="32"/>
          <w:szCs w:val="32"/>
        </w:rPr>
        <w:t>一、项目基本情况</w:t>
      </w:r>
    </w:p>
    <w:p>
      <w:pPr>
        <w:topLinePunct/>
        <w:spacing w:line="600" w:lineRule="exact"/>
        <w:ind w:firstLine="640" w:firstLineChars="200"/>
        <w:rPr>
          <w:rFonts w:eastAsia="楷体_GB2312"/>
          <w:sz w:val="32"/>
          <w:szCs w:val="32"/>
        </w:rPr>
      </w:pPr>
      <w:r>
        <w:rPr>
          <w:rFonts w:eastAsia="楷体_GB2312"/>
          <w:sz w:val="32"/>
          <w:szCs w:val="32"/>
        </w:rPr>
        <w:t>（一）项目概况</w:t>
      </w:r>
    </w:p>
    <w:p>
      <w:pPr>
        <w:topLinePunct/>
        <w:spacing w:line="600" w:lineRule="exact"/>
        <w:ind w:firstLine="640" w:firstLineChars="200"/>
        <w:rPr>
          <w:rFonts w:eastAsia="楷体_GB2312"/>
          <w:sz w:val="32"/>
          <w:szCs w:val="32"/>
        </w:rPr>
      </w:pPr>
      <w:r>
        <w:rPr>
          <w:rFonts w:eastAsia="楷体_GB2312"/>
          <w:sz w:val="32"/>
          <w:szCs w:val="32"/>
        </w:rPr>
        <w:t>1.立项背景及目的</w:t>
      </w:r>
    </w:p>
    <w:p>
      <w:pPr>
        <w:spacing w:line="600" w:lineRule="exact"/>
        <w:ind w:firstLine="640"/>
        <w:rPr>
          <w:rFonts w:eastAsia="仿宋_GB2312"/>
          <w:sz w:val="32"/>
          <w:szCs w:val="32"/>
        </w:rPr>
      </w:pPr>
      <w:r>
        <w:rPr>
          <w:rFonts w:eastAsia="仿宋_GB2312"/>
          <w:sz w:val="32"/>
          <w:szCs w:val="32"/>
        </w:rPr>
        <w:t>《昆明日报》是昆明市委机关报，创刊于1958年元旦。因全国新闻出版用纸供应紧张，昆明日报于1961年2月1日停刊，1985年8月1日复刊。一直以来，报社坚持增强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两个坚决维护</w:t>
      </w:r>
      <w:r>
        <w:rPr>
          <w:rFonts w:hint="eastAsia" w:eastAsia="仿宋_GB2312"/>
          <w:sz w:val="32"/>
          <w:szCs w:val="32"/>
        </w:rPr>
        <w:t>”</w:t>
      </w:r>
      <w:r>
        <w:rPr>
          <w:rFonts w:eastAsia="仿宋_GB2312"/>
          <w:sz w:val="32"/>
          <w:szCs w:val="32"/>
        </w:rPr>
        <w:t>，始终坚持政治家办报和正确舆论导向，自觉担负起举旗帜、聚民心、育新人、兴文化、展形象的使命任务，遵循</w:t>
      </w:r>
      <w:r>
        <w:rPr>
          <w:rFonts w:hint="eastAsia" w:eastAsia="仿宋_GB2312"/>
          <w:sz w:val="32"/>
          <w:szCs w:val="32"/>
        </w:rPr>
        <w:t>“</w:t>
      </w:r>
      <w:r>
        <w:rPr>
          <w:rFonts w:eastAsia="仿宋_GB2312"/>
          <w:sz w:val="32"/>
          <w:szCs w:val="32"/>
        </w:rPr>
        <w:t>凝聚向上力量</w:t>
      </w:r>
      <w:r>
        <w:rPr>
          <w:rFonts w:hint="eastAsia" w:eastAsia="仿宋_GB2312"/>
          <w:sz w:val="32"/>
          <w:szCs w:val="32"/>
        </w:rPr>
        <w:t>”</w:t>
      </w:r>
      <w:r>
        <w:rPr>
          <w:rFonts w:eastAsia="仿宋_GB2312"/>
          <w:sz w:val="32"/>
          <w:szCs w:val="32"/>
        </w:rPr>
        <w:t>办报理念，充分发挥党委政府与群众</w:t>
      </w:r>
      <w:r>
        <w:rPr>
          <w:rFonts w:hint="eastAsia" w:eastAsia="仿宋_GB2312"/>
          <w:sz w:val="32"/>
          <w:szCs w:val="32"/>
        </w:rPr>
        <w:t>“</w:t>
      </w:r>
      <w:r>
        <w:rPr>
          <w:rFonts w:eastAsia="仿宋_GB2312"/>
          <w:sz w:val="32"/>
          <w:szCs w:val="32"/>
        </w:rPr>
        <w:t>连心桥</w:t>
      </w:r>
      <w:r>
        <w:rPr>
          <w:rFonts w:hint="eastAsia" w:eastAsia="仿宋_GB2312"/>
          <w:sz w:val="32"/>
          <w:szCs w:val="32"/>
        </w:rPr>
        <w:t>”</w:t>
      </w:r>
      <w:r>
        <w:rPr>
          <w:rFonts w:eastAsia="仿宋_GB2312"/>
          <w:sz w:val="32"/>
          <w:szCs w:val="32"/>
        </w:rPr>
        <w:t>、社情民意</w:t>
      </w:r>
      <w:r>
        <w:rPr>
          <w:rFonts w:hint="eastAsia" w:eastAsia="仿宋_GB2312"/>
          <w:sz w:val="32"/>
          <w:szCs w:val="32"/>
        </w:rPr>
        <w:t>“</w:t>
      </w:r>
      <w:r>
        <w:rPr>
          <w:rFonts w:eastAsia="仿宋_GB2312"/>
          <w:sz w:val="32"/>
          <w:szCs w:val="32"/>
        </w:rPr>
        <w:t>晴雨表</w:t>
      </w:r>
      <w:r>
        <w:rPr>
          <w:rFonts w:hint="eastAsia" w:eastAsia="仿宋_GB2312"/>
          <w:sz w:val="32"/>
          <w:szCs w:val="32"/>
        </w:rPr>
        <w:t>”</w:t>
      </w:r>
      <w:r>
        <w:rPr>
          <w:rFonts w:eastAsia="仿宋_GB2312"/>
          <w:sz w:val="32"/>
          <w:szCs w:val="32"/>
        </w:rPr>
        <w:t>、为民服务</w:t>
      </w:r>
      <w:r>
        <w:rPr>
          <w:rFonts w:hint="eastAsia" w:eastAsia="仿宋_GB2312"/>
          <w:sz w:val="32"/>
          <w:szCs w:val="32"/>
        </w:rPr>
        <w:t>“</w:t>
      </w:r>
      <w:r>
        <w:rPr>
          <w:rFonts w:eastAsia="仿宋_GB2312"/>
          <w:sz w:val="32"/>
          <w:szCs w:val="32"/>
        </w:rPr>
        <w:t>一面旗</w:t>
      </w:r>
      <w:r>
        <w:rPr>
          <w:rFonts w:hint="eastAsia" w:eastAsia="仿宋_GB2312"/>
          <w:sz w:val="32"/>
          <w:szCs w:val="32"/>
        </w:rPr>
        <w:t>”</w:t>
      </w:r>
      <w:r>
        <w:rPr>
          <w:rFonts w:eastAsia="仿宋_GB2312"/>
          <w:sz w:val="32"/>
          <w:szCs w:val="32"/>
        </w:rPr>
        <w:t>的作用，围绕中心、服务大局，为昆明高质量推进区域性国际中心城市建设营造了良好舆论氛围。</w:t>
      </w:r>
    </w:p>
    <w:p>
      <w:pPr>
        <w:topLinePunct/>
        <w:spacing w:line="600" w:lineRule="exact"/>
        <w:ind w:firstLine="640" w:firstLineChars="200"/>
        <w:rPr>
          <w:rFonts w:eastAsia="楷体_GB2312"/>
          <w:sz w:val="32"/>
          <w:szCs w:val="32"/>
        </w:rPr>
      </w:pPr>
      <w:r>
        <w:rPr>
          <w:rFonts w:eastAsia="楷体_GB2312"/>
          <w:sz w:val="32"/>
          <w:szCs w:val="32"/>
        </w:rPr>
        <w:t>2.项目实施情况</w:t>
      </w:r>
    </w:p>
    <w:p>
      <w:pPr>
        <w:spacing w:line="600" w:lineRule="exact"/>
        <w:ind w:firstLine="640"/>
        <w:rPr>
          <w:rFonts w:eastAsia="仿宋_GB2312"/>
          <w:sz w:val="32"/>
          <w:szCs w:val="32"/>
        </w:rPr>
      </w:pPr>
      <w:r>
        <w:rPr>
          <w:rFonts w:eastAsia="仿宋_GB2312"/>
          <w:sz w:val="32"/>
          <w:szCs w:val="32"/>
        </w:rPr>
        <w:t>202</w:t>
      </w:r>
      <w:r>
        <w:rPr>
          <w:rFonts w:hint="eastAsia" w:eastAsia="仿宋_GB2312"/>
          <w:sz w:val="32"/>
          <w:szCs w:val="32"/>
        </w:rPr>
        <w:t>1</w:t>
      </w:r>
      <w:r>
        <w:rPr>
          <w:rFonts w:eastAsia="仿宋_GB2312"/>
          <w:sz w:val="32"/>
          <w:szCs w:val="32"/>
        </w:rPr>
        <w:t>年，《昆明日报》每期编辑出版发行7.5万份、日均版数12版、年出版365期，始终围绕市委、市政府中心工作、重点工作做好宣传报道和舆论引导工作。</w:t>
      </w:r>
    </w:p>
    <w:p>
      <w:pPr>
        <w:topLinePunct/>
        <w:spacing w:line="600" w:lineRule="exact"/>
        <w:ind w:firstLine="640" w:firstLineChars="200"/>
        <w:rPr>
          <w:rFonts w:eastAsia="楷体_GB2312"/>
          <w:sz w:val="32"/>
          <w:szCs w:val="32"/>
        </w:rPr>
      </w:pPr>
      <w:r>
        <w:rPr>
          <w:rFonts w:eastAsia="楷体_GB2312"/>
          <w:sz w:val="32"/>
          <w:szCs w:val="32"/>
        </w:rPr>
        <w:t>3.资金来源及使用情况</w:t>
      </w:r>
    </w:p>
    <w:p>
      <w:pPr>
        <w:spacing w:line="600" w:lineRule="exact"/>
        <w:ind w:firstLine="640"/>
        <w:rPr>
          <w:rFonts w:eastAsia="仿宋_GB2312"/>
          <w:sz w:val="32"/>
          <w:szCs w:val="32"/>
        </w:rPr>
      </w:pPr>
      <w:r>
        <w:rPr>
          <w:rFonts w:eastAsia="仿宋_GB2312"/>
          <w:sz w:val="32"/>
          <w:szCs w:val="32"/>
        </w:rPr>
        <w:t>本项目资金来源为财政拨款，根据《昆明市财政局关于批复202</w:t>
      </w:r>
      <w:r>
        <w:rPr>
          <w:rFonts w:hint="eastAsia" w:eastAsia="仿宋_GB2312"/>
          <w:sz w:val="32"/>
          <w:szCs w:val="32"/>
        </w:rPr>
        <w:t>1年</w:t>
      </w:r>
      <w:r>
        <w:rPr>
          <w:rFonts w:eastAsia="仿宋_GB2312"/>
          <w:sz w:val="32"/>
          <w:szCs w:val="32"/>
        </w:rPr>
        <w:t>部门预算的通知》，预算资金</w:t>
      </w:r>
      <w:r>
        <w:rPr>
          <w:rFonts w:hint="eastAsia" w:eastAsia="仿宋_GB2312"/>
          <w:sz w:val="32"/>
          <w:szCs w:val="32"/>
        </w:rPr>
        <w:t xml:space="preserve"> </w:t>
      </w:r>
      <w:r>
        <w:rPr>
          <w:rFonts w:eastAsia="仿宋_GB2312"/>
          <w:sz w:val="32"/>
          <w:szCs w:val="32"/>
        </w:rPr>
        <w:t>400</w:t>
      </w:r>
      <w:r>
        <w:rPr>
          <w:rFonts w:hint="eastAsia" w:eastAsia="仿宋_GB2312"/>
          <w:sz w:val="32"/>
          <w:szCs w:val="32"/>
        </w:rPr>
        <w:t xml:space="preserve"> </w:t>
      </w:r>
      <w:r>
        <w:rPr>
          <w:rFonts w:eastAsia="仿宋_GB2312"/>
          <w:sz w:val="32"/>
          <w:szCs w:val="32"/>
        </w:rPr>
        <w:t>万元，已于202</w:t>
      </w:r>
      <w:r>
        <w:rPr>
          <w:rFonts w:hint="eastAsia" w:eastAsia="仿宋_GB2312"/>
          <w:sz w:val="32"/>
          <w:szCs w:val="32"/>
        </w:rPr>
        <w:t>1</w:t>
      </w:r>
      <w:r>
        <w:rPr>
          <w:rFonts w:eastAsia="仿宋_GB2312"/>
          <w:sz w:val="32"/>
          <w:szCs w:val="32"/>
        </w:rPr>
        <w:t>年</w:t>
      </w:r>
      <w:r>
        <w:rPr>
          <w:rFonts w:hint="eastAsia" w:eastAsia="仿宋_GB2312"/>
          <w:sz w:val="32"/>
          <w:szCs w:val="32"/>
        </w:rPr>
        <w:t xml:space="preserve"> </w:t>
      </w:r>
      <w:r>
        <w:rPr>
          <w:rFonts w:eastAsia="仿宋_GB2312"/>
          <w:sz w:val="32"/>
          <w:szCs w:val="32"/>
        </w:rPr>
        <w:t>6</w:t>
      </w:r>
      <w:r>
        <w:rPr>
          <w:rFonts w:hint="eastAsia" w:eastAsia="仿宋_GB2312"/>
          <w:sz w:val="32"/>
          <w:szCs w:val="32"/>
        </w:rPr>
        <w:t xml:space="preserve"> </w:t>
      </w:r>
      <w:r>
        <w:rPr>
          <w:rFonts w:eastAsia="仿宋_GB2312"/>
          <w:sz w:val="32"/>
          <w:szCs w:val="32"/>
        </w:rPr>
        <w:t>月份批复到位，已全部按照计划支出使用。</w:t>
      </w:r>
    </w:p>
    <w:p>
      <w:pPr>
        <w:topLinePunct/>
        <w:spacing w:line="600" w:lineRule="exact"/>
        <w:ind w:firstLine="640" w:firstLineChars="200"/>
        <w:rPr>
          <w:rFonts w:eastAsia="楷体_GB2312"/>
          <w:sz w:val="32"/>
          <w:szCs w:val="32"/>
        </w:rPr>
      </w:pPr>
      <w:r>
        <w:rPr>
          <w:rFonts w:eastAsia="楷体_GB2312"/>
          <w:sz w:val="32"/>
          <w:szCs w:val="32"/>
        </w:rPr>
        <w:t>4.组织及管理情况</w:t>
      </w:r>
    </w:p>
    <w:p>
      <w:pPr>
        <w:spacing w:line="600" w:lineRule="exact"/>
        <w:ind w:firstLine="640"/>
        <w:rPr>
          <w:rFonts w:eastAsia="仿宋_GB2312"/>
          <w:sz w:val="32"/>
          <w:szCs w:val="32"/>
        </w:rPr>
      </w:pPr>
      <w:r>
        <w:rPr>
          <w:rFonts w:eastAsia="仿宋_GB2312"/>
          <w:sz w:val="32"/>
          <w:szCs w:val="32"/>
        </w:rPr>
        <w:t>报社严格按照招投标相关法律法规的规定，依法对新闻纸进行采购，并严格按照国家新闻出版相关规定及《昆明日报采编出版规范》《昆明日报编前会制度》、《昆明日报值班领导值班守则》和《昆明日报关于</w:t>
      </w:r>
      <w:r>
        <w:rPr>
          <w:rFonts w:hint="eastAsia" w:eastAsia="仿宋_GB2312"/>
          <w:sz w:val="32"/>
          <w:szCs w:val="32"/>
        </w:rPr>
        <w:t>“</w:t>
      </w:r>
      <w:r>
        <w:rPr>
          <w:rFonts w:eastAsia="仿宋_GB2312"/>
          <w:sz w:val="32"/>
          <w:szCs w:val="32"/>
        </w:rPr>
        <w:t>双岗带班制</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报道评估机制</w:t>
      </w:r>
      <w:r>
        <w:rPr>
          <w:rFonts w:hint="eastAsia" w:eastAsia="仿宋_GB2312"/>
          <w:sz w:val="32"/>
          <w:szCs w:val="32"/>
        </w:rPr>
        <w:t>”</w:t>
      </w:r>
      <w:r>
        <w:rPr>
          <w:rFonts w:eastAsia="仿宋_GB2312"/>
          <w:sz w:val="32"/>
          <w:szCs w:val="32"/>
        </w:rPr>
        <w:t>的规定》等文件相关规定，围绕市委、市政府中心工作，做好新闻宣传和舆论引导、报纸出版工作。</w:t>
      </w:r>
    </w:p>
    <w:p>
      <w:pPr>
        <w:topLinePunct/>
        <w:spacing w:line="600" w:lineRule="exact"/>
        <w:ind w:firstLine="640" w:firstLineChars="200"/>
        <w:rPr>
          <w:rFonts w:eastAsia="楷体_GB2312"/>
          <w:sz w:val="32"/>
          <w:szCs w:val="32"/>
        </w:rPr>
      </w:pPr>
      <w:r>
        <w:rPr>
          <w:rFonts w:eastAsia="楷体_GB2312"/>
          <w:sz w:val="32"/>
          <w:szCs w:val="32"/>
        </w:rPr>
        <w:t>（二）绩效目标</w:t>
      </w:r>
    </w:p>
    <w:p>
      <w:pPr>
        <w:topLinePunct/>
        <w:spacing w:line="600" w:lineRule="exact"/>
        <w:ind w:firstLine="640" w:firstLineChars="200"/>
        <w:rPr>
          <w:rFonts w:eastAsia="楷体_GB2312"/>
          <w:sz w:val="32"/>
          <w:szCs w:val="32"/>
        </w:rPr>
      </w:pPr>
      <w:r>
        <w:rPr>
          <w:rFonts w:eastAsia="楷体_GB2312"/>
          <w:sz w:val="32"/>
          <w:szCs w:val="32"/>
        </w:rPr>
        <w:t>1.总目标</w:t>
      </w:r>
    </w:p>
    <w:p>
      <w:pPr>
        <w:spacing w:line="600" w:lineRule="exact"/>
        <w:ind w:firstLine="640"/>
        <w:rPr>
          <w:rFonts w:eastAsia="仿宋_GB2312"/>
          <w:sz w:val="32"/>
          <w:szCs w:val="32"/>
        </w:rPr>
      </w:pPr>
      <w:r>
        <w:rPr>
          <w:rFonts w:eastAsia="仿宋_GB2312"/>
          <w:sz w:val="32"/>
          <w:szCs w:val="32"/>
        </w:rPr>
        <w:t>以习近平新时代中国特色社会主义思想为指导，深入贯彻落实习近平总书记</w:t>
      </w:r>
      <w:r>
        <w:rPr>
          <w:rFonts w:hint="eastAsia" w:eastAsia="仿宋_GB2312"/>
          <w:sz w:val="32"/>
          <w:szCs w:val="32"/>
        </w:rPr>
        <w:t>系列重要讲话精神和</w:t>
      </w:r>
      <w:r>
        <w:rPr>
          <w:rFonts w:eastAsia="仿宋_GB2312"/>
          <w:sz w:val="32"/>
          <w:szCs w:val="32"/>
        </w:rPr>
        <w:t>考察云南重要讲话精神、中央经济工作会议精神，按照市委十</w:t>
      </w:r>
      <w:r>
        <w:rPr>
          <w:rFonts w:hint="eastAsia" w:eastAsia="仿宋_GB2312"/>
          <w:sz w:val="32"/>
          <w:szCs w:val="32"/>
        </w:rPr>
        <w:t>二</w:t>
      </w:r>
      <w:r>
        <w:rPr>
          <w:rFonts w:eastAsia="仿宋_GB2312"/>
          <w:sz w:val="32"/>
          <w:szCs w:val="32"/>
        </w:rPr>
        <w:t>次</w:t>
      </w:r>
      <w:r>
        <w:rPr>
          <w:rFonts w:hint="eastAsia" w:eastAsia="仿宋_GB2312"/>
          <w:sz w:val="32"/>
          <w:szCs w:val="32"/>
        </w:rPr>
        <w:t>党代</w:t>
      </w:r>
      <w:r>
        <w:rPr>
          <w:rFonts w:eastAsia="仿宋_GB2312"/>
          <w:sz w:val="32"/>
          <w:szCs w:val="32"/>
        </w:rPr>
        <w:t>会的安排部署，团结动员全体干部员工，聚焦新发展目标，融入新发展格局，践行新发展理念，为</w:t>
      </w:r>
      <w:r>
        <w:rPr>
          <w:rFonts w:hint="eastAsia" w:eastAsia="仿宋_GB2312"/>
          <w:sz w:val="32"/>
          <w:szCs w:val="32"/>
        </w:rPr>
        <w:t>全市经济社会发展</w:t>
      </w:r>
      <w:r>
        <w:rPr>
          <w:rFonts w:eastAsia="仿宋_GB2312"/>
          <w:sz w:val="32"/>
          <w:szCs w:val="32"/>
        </w:rPr>
        <w:t>营造更加良好的舆论氛围。</w:t>
      </w:r>
    </w:p>
    <w:p>
      <w:pPr>
        <w:topLinePunct/>
        <w:spacing w:line="600" w:lineRule="exact"/>
        <w:ind w:firstLine="640" w:firstLineChars="200"/>
        <w:rPr>
          <w:rFonts w:eastAsia="楷体_GB2312"/>
          <w:sz w:val="32"/>
          <w:szCs w:val="32"/>
        </w:rPr>
      </w:pPr>
      <w:r>
        <w:rPr>
          <w:rFonts w:eastAsia="楷体_GB2312"/>
          <w:sz w:val="32"/>
          <w:szCs w:val="32"/>
        </w:rPr>
        <w:t>2.年度目标</w:t>
      </w:r>
    </w:p>
    <w:p>
      <w:pPr>
        <w:spacing w:line="600" w:lineRule="exact"/>
        <w:ind w:firstLine="640"/>
        <w:rPr>
          <w:rFonts w:eastAsia="仿宋_GB2312"/>
          <w:sz w:val="32"/>
          <w:szCs w:val="32"/>
        </w:rPr>
      </w:pPr>
      <w:r>
        <w:rPr>
          <w:rFonts w:eastAsia="仿宋_GB2312"/>
          <w:sz w:val="32"/>
          <w:szCs w:val="32"/>
        </w:rPr>
        <w:t>202</w:t>
      </w:r>
      <w:r>
        <w:rPr>
          <w:rFonts w:hint="eastAsia" w:eastAsia="仿宋_GB2312"/>
          <w:sz w:val="32"/>
          <w:szCs w:val="32"/>
        </w:rPr>
        <w:t>1</w:t>
      </w:r>
      <w:r>
        <w:rPr>
          <w:rFonts w:eastAsia="仿宋_GB2312"/>
          <w:sz w:val="32"/>
          <w:szCs w:val="32"/>
        </w:rPr>
        <w:t>年，坚决按照党中央和省委、市委的决策部署以及市委宣传部的工作安排，自觉担负起举旗帜、聚民心、育新人、兴文化、展形象的使命任务，推进新闻舆论、媒体融合、经营转型、改革创新以及党的建设等各项工作高质量发展，为全市经济社会发展营造良好舆论氛围。</w:t>
      </w:r>
    </w:p>
    <w:p>
      <w:pPr>
        <w:topLinePunct/>
        <w:spacing w:line="600" w:lineRule="exact"/>
        <w:ind w:firstLine="640" w:firstLineChars="200"/>
        <w:rPr>
          <w:rFonts w:eastAsia="黑体"/>
          <w:sz w:val="32"/>
          <w:szCs w:val="32"/>
        </w:rPr>
      </w:pPr>
      <w:r>
        <w:rPr>
          <w:rFonts w:eastAsia="黑体"/>
          <w:sz w:val="32"/>
          <w:szCs w:val="32"/>
        </w:rPr>
        <w:t>二、绩效评价工作情况</w:t>
      </w:r>
    </w:p>
    <w:p>
      <w:pPr>
        <w:topLinePunct/>
        <w:spacing w:line="600" w:lineRule="exact"/>
        <w:ind w:firstLine="640" w:firstLineChars="200"/>
        <w:rPr>
          <w:rFonts w:eastAsia="楷体_GB2312"/>
          <w:sz w:val="32"/>
          <w:szCs w:val="32"/>
        </w:rPr>
      </w:pPr>
      <w:r>
        <w:rPr>
          <w:rFonts w:eastAsia="楷体_GB2312"/>
          <w:sz w:val="32"/>
          <w:szCs w:val="32"/>
        </w:rPr>
        <w:t>（一）绩效评价目的</w:t>
      </w:r>
    </w:p>
    <w:p>
      <w:pPr>
        <w:topLinePunct/>
        <w:spacing w:line="600" w:lineRule="exact"/>
        <w:ind w:firstLine="640" w:firstLineChars="200"/>
        <w:rPr>
          <w:rFonts w:eastAsia="楷体_GB2312"/>
          <w:sz w:val="32"/>
          <w:szCs w:val="32"/>
        </w:rPr>
      </w:pPr>
      <w:r>
        <w:rPr>
          <w:rFonts w:eastAsia="楷体_GB2312"/>
          <w:sz w:val="32"/>
          <w:szCs w:val="32"/>
        </w:rPr>
        <w:t>1.绩效评价目的</w:t>
      </w:r>
    </w:p>
    <w:p>
      <w:pPr>
        <w:spacing w:line="600" w:lineRule="exact"/>
        <w:ind w:firstLine="640"/>
        <w:rPr>
          <w:rFonts w:eastAsia="仿宋_GB2312"/>
          <w:sz w:val="32"/>
          <w:szCs w:val="32"/>
        </w:rPr>
      </w:pPr>
      <w:r>
        <w:rPr>
          <w:rFonts w:eastAsia="仿宋_GB2312"/>
          <w:sz w:val="32"/>
          <w:szCs w:val="32"/>
        </w:rPr>
        <w:t>通过对项目立项情况、资金使用情况、项目实施管理情况、项目绩效表现情况进行自我评价，有助于了解资金使用是否达到预期目标、资金管理和使用是否规范、有效，进而检验资金支出效率和效果，便于及时总结经验、分析存在的问题和原因，改进管理措施，完善工作机制，有效提高资金管理水平和使用效益</w:t>
      </w:r>
    </w:p>
    <w:p>
      <w:pPr>
        <w:topLinePunct/>
        <w:spacing w:line="600" w:lineRule="exact"/>
        <w:ind w:firstLine="640" w:firstLineChars="200"/>
        <w:rPr>
          <w:rFonts w:eastAsia="楷体_GB2312"/>
          <w:sz w:val="32"/>
          <w:szCs w:val="32"/>
        </w:rPr>
      </w:pPr>
      <w:r>
        <w:rPr>
          <w:rFonts w:eastAsia="楷体_GB2312"/>
          <w:sz w:val="32"/>
          <w:szCs w:val="32"/>
        </w:rPr>
        <w:t>2.项目资金到位情况分析</w:t>
      </w:r>
    </w:p>
    <w:p>
      <w:pPr>
        <w:spacing w:line="600" w:lineRule="exact"/>
        <w:ind w:firstLine="640"/>
        <w:rPr>
          <w:rFonts w:eastAsia="仿宋_GB2312"/>
          <w:sz w:val="32"/>
          <w:szCs w:val="32"/>
        </w:rPr>
      </w:pPr>
      <w:r>
        <w:rPr>
          <w:rFonts w:eastAsia="仿宋_GB2312"/>
          <w:sz w:val="32"/>
          <w:szCs w:val="32"/>
        </w:rPr>
        <w:t>根据《昆明市财政局关于批复2021</w:t>
      </w:r>
      <w:r>
        <w:rPr>
          <w:rFonts w:hint="eastAsia" w:eastAsia="仿宋_GB2312"/>
          <w:sz w:val="32"/>
          <w:szCs w:val="32"/>
        </w:rPr>
        <w:t>年</w:t>
      </w:r>
      <w:r>
        <w:rPr>
          <w:rFonts w:eastAsia="仿宋_GB2312"/>
          <w:sz w:val="32"/>
          <w:szCs w:val="32"/>
        </w:rPr>
        <w:t>部门预算的通知》，本项目资金于202</w:t>
      </w:r>
      <w:r>
        <w:rPr>
          <w:rFonts w:hint="eastAsia" w:eastAsia="仿宋_GB2312"/>
          <w:sz w:val="32"/>
          <w:szCs w:val="32"/>
        </w:rPr>
        <w:t>1</w:t>
      </w:r>
      <w:r>
        <w:rPr>
          <w:rFonts w:eastAsia="仿宋_GB2312"/>
          <w:sz w:val="32"/>
          <w:szCs w:val="32"/>
        </w:rPr>
        <w:t>年6月，批复到位</w:t>
      </w:r>
      <w:r>
        <w:rPr>
          <w:rFonts w:hint="eastAsia" w:eastAsia="仿宋_GB2312"/>
          <w:sz w:val="32"/>
          <w:szCs w:val="32"/>
        </w:rPr>
        <w:t>4</w:t>
      </w:r>
      <w:r>
        <w:rPr>
          <w:rFonts w:eastAsia="仿宋_GB2312"/>
          <w:sz w:val="32"/>
          <w:szCs w:val="32"/>
        </w:rPr>
        <w:t>00万元，为确保财政预算资金有效合理使用，提高资金使用效率，该项目资金实行专款专用，并于当月按招投标程序采购</w:t>
      </w:r>
      <w:r>
        <w:rPr>
          <w:rFonts w:hint="eastAsia" w:eastAsia="仿宋_GB2312"/>
          <w:sz w:val="32"/>
          <w:szCs w:val="32"/>
        </w:rPr>
        <w:t>6</w:t>
      </w:r>
      <w:r>
        <w:rPr>
          <w:rFonts w:eastAsia="仿宋_GB2312"/>
          <w:sz w:val="32"/>
          <w:szCs w:val="32"/>
        </w:rPr>
        <w:t>66.66</w:t>
      </w:r>
      <w:r>
        <w:rPr>
          <w:rFonts w:hint="eastAsia" w:eastAsia="仿宋_GB2312"/>
          <w:sz w:val="32"/>
          <w:szCs w:val="32"/>
        </w:rPr>
        <w:t>吨，单价6</w:t>
      </w:r>
      <w:r>
        <w:rPr>
          <w:rFonts w:eastAsia="仿宋_GB2312"/>
          <w:sz w:val="32"/>
          <w:szCs w:val="32"/>
        </w:rPr>
        <w:t>000</w:t>
      </w:r>
      <w:r>
        <w:rPr>
          <w:rFonts w:hint="eastAsia" w:eastAsia="仿宋_GB2312"/>
          <w:sz w:val="32"/>
          <w:szCs w:val="32"/>
        </w:rPr>
        <w:t>元</w:t>
      </w:r>
      <w:r>
        <w:rPr>
          <w:rFonts w:eastAsia="仿宋_GB2312"/>
          <w:sz w:val="32"/>
          <w:szCs w:val="32"/>
        </w:rPr>
        <w:t>新闻纸</w:t>
      </w:r>
      <w:r>
        <w:rPr>
          <w:rFonts w:hint="eastAsia" w:eastAsia="仿宋_GB2312"/>
          <w:sz w:val="32"/>
          <w:szCs w:val="32"/>
        </w:rPr>
        <w:t>，</w:t>
      </w:r>
      <w:r>
        <w:rPr>
          <w:rFonts w:eastAsia="仿宋_GB2312"/>
          <w:sz w:val="32"/>
          <w:szCs w:val="32"/>
        </w:rPr>
        <w:t xml:space="preserve">共计400万元。 </w:t>
      </w:r>
    </w:p>
    <w:p>
      <w:pPr>
        <w:topLinePunct/>
        <w:spacing w:line="600" w:lineRule="exact"/>
        <w:ind w:firstLine="640" w:firstLineChars="200"/>
        <w:rPr>
          <w:rFonts w:eastAsia="楷体_GB2312"/>
          <w:sz w:val="32"/>
          <w:szCs w:val="32"/>
        </w:rPr>
      </w:pPr>
      <w:r>
        <w:rPr>
          <w:rFonts w:eastAsia="楷体_GB2312"/>
          <w:sz w:val="32"/>
          <w:szCs w:val="32"/>
        </w:rPr>
        <w:t>3.项目资金使用情况分析</w:t>
      </w:r>
    </w:p>
    <w:p>
      <w:pPr>
        <w:spacing w:line="600" w:lineRule="exact"/>
        <w:ind w:firstLine="640"/>
        <w:rPr>
          <w:rFonts w:eastAsia="仿宋_GB2312"/>
          <w:sz w:val="32"/>
          <w:szCs w:val="32"/>
        </w:rPr>
      </w:pPr>
      <w:r>
        <w:rPr>
          <w:rFonts w:eastAsia="仿宋_GB2312"/>
          <w:sz w:val="32"/>
          <w:szCs w:val="32"/>
        </w:rPr>
        <w:t>项目支出均有相关的授权审批，资金拨付严格审批程序，使用规范，会计核算结果真实、准确，未发现有截留、挤占或挪用项目资金的情况。</w:t>
      </w:r>
    </w:p>
    <w:p>
      <w:pPr>
        <w:topLinePunct/>
        <w:spacing w:line="600" w:lineRule="exact"/>
        <w:ind w:firstLine="640" w:firstLineChars="200"/>
        <w:rPr>
          <w:rFonts w:eastAsia="楷体_GB2312"/>
          <w:sz w:val="32"/>
          <w:szCs w:val="32"/>
        </w:rPr>
      </w:pPr>
      <w:r>
        <w:rPr>
          <w:rFonts w:eastAsia="楷体_GB2312"/>
          <w:sz w:val="32"/>
          <w:szCs w:val="32"/>
        </w:rPr>
        <w:t>4.项目组织情况</w:t>
      </w:r>
    </w:p>
    <w:p>
      <w:pPr>
        <w:spacing w:line="600" w:lineRule="exact"/>
        <w:ind w:firstLine="640"/>
        <w:rPr>
          <w:rFonts w:eastAsia="仿宋_GB2312"/>
          <w:sz w:val="32"/>
          <w:szCs w:val="32"/>
        </w:rPr>
      </w:pPr>
      <w:r>
        <w:rPr>
          <w:rFonts w:eastAsia="仿宋_GB2312"/>
          <w:sz w:val="32"/>
          <w:szCs w:val="32"/>
        </w:rPr>
        <w:t>为确保项目保质保量地完成，昆明日报社严格按照操作程序实施项目管理。一是自觉接受上级部门、社会监督，提高项目质量。二是加强技术指导，进行项目日常自检管理。</w:t>
      </w:r>
    </w:p>
    <w:p>
      <w:pPr>
        <w:topLinePunct/>
        <w:spacing w:line="600" w:lineRule="exact"/>
        <w:ind w:firstLine="640" w:firstLineChars="200"/>
        <w:rPr>
          <w:rFonts w:eastAsia="楷体_GB2312"/>
          <w:sz w:val="32"/>
          <w:szCs w:val="32"/>
        </w:rPr>
      </w:pPr>
      <w:r>
        <w:rPr>
          <w:rFonts w:eastAsia="楷体_GB2312"/>
          <w:sz w:val="32"/>
          <w:szCs w:val="32"/>
        </w:rPr>
        <w:t>5.项目管理情况</w:t>
      </w:r>
    </w:p>
    <w:p>
      <w:pPr>
        <w:spacing w:line="600" w:lineRule="exact"/>
        <w:ind w:firstLine="640"/>
        <w:rPr>
          <w:rFonts w:eastAsia="仿宋_GB2312"/>
          <w:sz w:val="32"/>
          <w:szCs w:val="32"/>
        </w:rPr>
      </w:pPr>
      <w:r>
        <w:rPr>
          <w:rFonts w:eastAsia="仿宋_GB2312"/>
          <w:sz w:val="32"/>
          <w:szCs w:val="32"/>
        </w:rPr>
        <w:t>严格按照《昆明日报采编出版规范》《昆明日报编前会制度》《昆明日报值班领导值班守则》和《昆明日报关于</w:t>
      </w:r>
      <w:r>
        <w:rPr>
          <w:rFonts w:hint="eastAsia" w:eastAsia="仿宋_GB2312"/>
          <w:sz w:val="32"/>
          <w:szCs w:val="32"/>
        </w:rPr>
        <w:t>“</w:t>
      </w:r>
      <w:r>
        <w:rPr>
          <w:rFonts w:eastAsia="仿宋_GB2312"/>
          <w:sz w:val="32"/>
          <w:szCs w:val="32"/>
        </w:rPr>
        <w:t>双岗带班制</w:t>
      </w:r>
      <w:r>
        <w:rPr>
          <w:rFonts w:hint="eastAsia" w:eastAsia="仿宋_GB2312"/>
          <w:sz w:val="32"/>
          <w:szCs w:val="32"/>
        </w:rPr>
        <w:t>”</w:t>
      </w:r>
      <w:r>
        <w:rPr>
          <w:rFonts w:eastAsia="仿宋_GB2312"/>
          <w:sz w:val="32"/>
          <w:szCs w:val="32"/>
        </w:rPr>
        <w:t>和</w:t>
      </w:r>
      <w:r>
        <w:rPr>
          <w:rFonts w:hint="eastAsia" w:eastAsia="仿宋_GB2312"/>
          <w:sz w:val="32"/>
          <w:szCs w:val="32"/>
        </w:rPr>
        <w:t>“</w:t>
      </w:r>
      <w:r>
        <w:rPr>
          <w:rFonts w:eastAsia="仿宋_GB2312"/>
          <w:sz w:val="32"/>
          <w:szCs w:val="32"/>
        </w:rPr>
        <w:t>报道评估机制</w:t>
      </w:r>
      <w:r>
        <w:rPr>
          <w:rFonts w:hint="eastAsia" w:eastAsia="仿宋_GB2312"/>
          <w:sz w:val="32"/>
          <w:szCs w:val="32"/>
        </w:rPr>
        <w:t>”</w:t>
      </w:r>
      <w:r>
        <w:rPr>
          <w:rFonts w:eastAsia="仿宋_GB2312"/>
          <w:sz w:val="32"/>
          <w:szCs w:val="32"/>
        </w:rPr>
        <w:t>的规定》等文件规定，要求新闻采编、印务、发行、行政等相关部门，严格执行国家、行业法律法规及内部管理规定，从日常采编的每一个工作细节规范操作、严格审核，全力保证新闻信息发布安全有序。</w:t>
      </w:r>
    </w:p>
    <w:p>
      <w:pPr>
        <w:topLinePunct/>
        <w:spacing w:line="600" w:lineRule="exact"/>
        <w:ind w:firstLine="640" w:firstLineChars="200"/>
        <w:rPr>
          <w:rFonts w:eastAsia="楷体_GB2312"/>
          <w:sz w:val="32"/>
          <w:szCs w:val="32"/>
        </w:rPr>
      </w:pPr>
      <w:r>
        <w:rPr>
          <w:rFonts w:hint="eastAsia" w:eastAsia="楷体_GB2312"/>
          <w:sz w:val="32"/>
          <w:szCs w:val="32"/>
        </w:rPr>
        <w:t>（</w:t>
      </w:r>
      <w:r>
        <w:rPr>
          <w:rFonts w:eastAsia="楷体_GB2312"/>
          <w:sz w:val="32"/>
          <w:szCs w:val="32"/>
        </w:rPr>
        <w:t>二</w:t>
      </w:r>
      <w:r>
        <w:rPr>
          <w:rFonts w:hint="eastAsia" w:eastAsia="楷体_GB2312"/>
          <w:sz w:val="32"/>
          <w:szCs w:val="32"/>
        </w:rPr>
        <w:t>）</w:t>
      </w:r>
      <w:r>
        <w:rPr>
          <w:rFonts w:eastAsia="楷体_GB2312"/>
          <w:sz w:val="32"/>
          <w:szCs w:val="32"/>
        </w:rPr>
        <w:t>绩效评价工作方案制定过程</w:t>
      </w:r>
    </w:p>
    <w:p>
      <w:pPr>
        <w:topLinePunct/>
        <w:spacing w:line="600" w:lineRule="exact"/>
        <w:ind w:firstLine="640" w:firstLineChars="200"/>
        <w:rPr>
          <w:rFonts w:eastAsia="楷体_GB2312"/>
          <w:sz w:val="32"/>
          <w:szCs w:val="32"/>
        </w:rPr>
      </w:pPr>
      <w:r>
        <w:rPr>
          <w:rFonts w:eastAsia="楷体_GB2312"/>
          <w:sz w:val="32"/>
          <w:szCs w:val="32"/>
        </w:rPr>
        <w:t>1.前期调研、研究文件</w:t>
      </w:r>
    </w:p>
    <w:p>
      <w:pPr>
        <w:spacing w:line="600" w:lineRule="exact"/>
        <w:ind w:firstLine="640"/>
        <w:rPr>
          <w:rFonts w:eastAsia="仿宋_GB2312"/>
          <w:sz w:val="32"/>
          <w:szCs w:val="32"/>
        </w:rPr>
      </w:pPr>
      <w:r>
        <w:rPr>
          <w:rFonts w:eastAsia="仿宋_GB2312"/>
          <w:sz w:val="32"/>
          <w:szCs w:val="32"/>
        </w:rPr>
        <w:t>通过调研</w:t>
      </w:r>
      <w:r>
        <w:rPr>
          <w:rFonts w:hint="eastAsia" w:eastAsia="仿宋_GB2312"/>
          <w:sz w:val="32"/>
          <w:szCs w:val="32"/>
        </w:rPr>
        <w:t>，</w:t>
      </w:r>
      <w:r>
        <w:rPr>
          <w:rFonts w:eastAsia="仿宋_GB2312"/>
          <w:sz w:val="32"/>
          <w:szCs w:val="32"/>
        </w:rPr>
        <w:t>对相关文件的解读，根据绩效评价的基本原理、原则和项目特点，结合绩效目标，由绩效评价小组按确定的评价指标体系、评分标准、评价方法和相关的工作程序和步骤，在规定的时间节点内开展绩效评价工作。</w:t>
      </w:r>
    </w:p>
    <w:p>
      <w:pPr>
        <w:topLinePunct/>
        <w:spacing w:line="600" w:lineRule="exact"/>
        <w:ind w:firstLine="640" w:firstLineChars="200"/>
        <w:rPr>
          <w:rFonts w:eastAsia="楷体_GB2312"/>
          <w:sz w:val="32"/>
          <w:szCs w:val="32"/>
        </w:rPr>
      </w:pPr>
      <w:r>
        <w:rPr>
          <w:rFonts w:eastAsia="楷体_GB2312"/>
          <w:sz w:val="32"/>
          <w:szCs w:val="32"/>
        </w:rPr>
        <w:t>2.绩效评价指标体系及工作方案的设计</w:t>
      </w:r>
    </w:p>
    <w:p>
      <w:pPr>
        <w:spacing w:line="600" w:lineRule="exact"/>
        <w:ind w:firstLine="640"/>
        <w:rPr>
          <w:rFonts w:eastAsia="仿宋_GB2312"/>
          <w:sz w:val="32"/>
          <w:szCs w:val="32"/>
        </w:rPr>
      </w:pPr>
      <w:r>
        <w:rPr>
          <w:rFonts w:eastAsia="仿宋_GB2312"/>
          <w:sz w:val="32"/>
          <w:szCs w:val="32"/>
        </w:rPr>
        <w:t>本次绩效评价证据收集方法包括了</w:t>
      </w:r>
      <w:r>
        <w:rPr>
          <w:rFonts w:hint="eastAsia" w:eastAsia="仿宋_GB2312"/>
          <w:sz w:val="32"/>
          <w:szCs w:val="32"/>
        </w:rPr>
        <w:t>：</w:t>
      </w:r>
      <w:r>
        <w:rPr>
          <w:rFonts w:eastAsia="仿宋_GB2312"/>
          <w:sz w:val="32"/>
          <w:szCs w:val="32"/>
        </w:rPr>
        <w:t>研究、分析项目预算部门提供的相关文件；整理、汇总项目预算单位提供的项目资料、工作总结和合同；根据预算部门提供的基础数据表逐项进行核实;根据项目服务对象填写的问卷调查结果汇总满意度情况。根据上述方法，从项目的立项合理性，目标的明确性，预算的准确性和管理制度的合规性等方面，对评价对象进行绩效评价。</w:t>
      </w:r>
    </w:p>
    <w:p>
      <w:pPr>
        <w:topLinePunct/>
        <w:spacing w:line="600" w:lineRule="exact"/>
        <w:ind w:firstLine="640" w:firstLineChars="200"/>
        <w:rPr>
          <w:rFonts w:eastAsia="楷体_GB2312"/>
          <w:sz w:val="32"/>
          <w:szCs w:val="32"/>
        </w:rPr>
      </w:pPr>
      <w:r>
        <w:rPr>
          <w:rFonts w:hint="eastAsia" w:eastAsia="楷体_GB2312"/>
          <w:sz w:val="32"/>
          <w:szCs w:val="32"/>
        </w:rPr>
        <w:t>（</w:t>
      </w:r>
      <w:r>
        <w:rPr>
          <w:rFonts w:eastAsia="楷体_GB2312"/>
          <w:sz w:val="32"/>
          <w:szCs w:val="32"/>
        </w:rPr>
        <w:t>三</w:t>
      </w:r>
      <w:r>
        <w:rPr>
          <w:rFonts w:hint="eastAsia" w:eastAsia="楷体_GB2312"/>
          <w:sz w:val="32"/>
          <w:szCs w:val="32"/>
        </w:rPr>
        <w:t>）</w:t>
      </w:r>
      <w:r>
        <w:rPr>
          <w:rFonts w:eastAsia="楷体_GB2312"/>
          <w:sz w:val="32"/>
          <w:szCs w:val="32"/>
        </w:rPr>
        <w:t>绩效评价原则、评价方法</w:t>
      </w:r>
    </w:p>
    <w:p>
      <w:pPr>
        <w:topLinePunct/>
        <w:spacing w:line="600" w:lineRule="exact"/>
        <w:ind w:firstLine="640" w:firstLineChars="200"/>
        <w:rPr>
          <w:rFonts w:eastAsia="楷体_GB2312"/>
          <w:sz w:val="32"/>
          <w:szCs w:val="32"/>
        </w:rPr>
      </w:pPr>
      <w:r>
        <w:rPr>
          <w:rFonts w:eastAsia="楷体_GB2312"/>
          <w:sz w:val="32"/>
          <w:szCs w:val="32"/>
        </w:rPr>
        <w:t>1.绩效评价的原则</w:t>
      </w:r>
    </w:p>
    <w:p>
      <w:pPr>
        <w:spacing w:line="600" w:lineRule="exact"/>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eastAsia="仿宋_GB2312"/>
          <w:sz w:val="32"/>
          <w:szCs w:val="32"/>
        </w:rPr>
        <w:t>科学规范。绩效评价注重财政支出的经济性、效率性和有效性，严格执行规定的程序，采用定量与定性分析相结合的方法。</w:t>
      </w:r>
    </w:p>
    <w:p>
      <w:pPr>
        <w:spacing w:line="600" w:lineRule="exact"/>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eastAsia="仿宋_GB2312"/>
          <w:sz w:val="32"/>
          <w:szCs w:val="32"/>
        </w:rPr>
        <w:t>公正公开。绩效评价客观、公正，标准统一、资料可靠，依法公开。</w:t>
      </w:r>
    </w:p>
    <w:p>
      <w:pPr>
        <w:spacing w:line="600" w:lineRule="exact"/>
        <w:ind w:firstLine="64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w:t>
      </w:r>
      <w:r>
        <w:rPr>
          <w:rFonts w:eastAsia="仿宋_GB2312"/>
          <w:sz w:val="32"/>
          <w:szCs w:val="32"/>
        </w:rPr>
        <w:t>绩效相关。绩效评价针对具体支出及其产出绩效进行评价,结果清晰反映支出和产出绩效之间的紧密对应关系。</w:t>
      </w:r>
    </w:p>
    <w:p>
      <w:pPr>
        <w:topLinePunct/>
        <w:spacing w:line="600" w:lineRule="exact"/>
        <w:ind w:firstLine="640" w:firstLineChars="200"/>
        <w:rPr>
          <w:rFonts w:eastAsia="楷体_GB2312"/>
          <w:sz w:val="32"/>
          <w:szCs w:val="32"/>
        </w:rPr>
      </w:pPr>
      <w:r>
        <w:rPr>
          <w:rFonts w:eastAsia="楷体_GB2312"/>
          <w:sz w:val="32"/>
          <w:szCs w:val="32"/>
        </w:rPr>
        <w:t>2.评价方法</w:t>
      </w:r>
    </w:p>
    <w:p>
      <w:pPr>
        <w:spacing w:line="600" w:lineRule="exact"/>
        <w:ind w:firstLine="640"/>
        <w:rPr>
          <w:rFonts w:eastAsia="仿宋_GB2312"/>
          <w:sz w:val="32"/>
          <w:szCs w:val="32"/>
        </w:rPr>
      </w:pPr>
      <w:r>
        <w:rPr>
          <w:rFonts w:eastAsia="仿宋_GB2312"/>
          <w:sz w:val="32"/>
          <w:szCs w:val="32"/>
        </w:rPr>
        <w:t>本次主要采用因素分析法，采取数据对比，标准和抽样调查相结合，同时辅以问卷抽查、资料研究等方法。</w:t>
      </w:r>
    </w:p>
    <w:p>
      <w:pPr>
        <w:topLinePunct/>
        <w:spacing w:line="600" w:lineRule="exact"/>
        <w:ind w:firstLine="640" w:firstLineChars="200"/>
        <w:rPr>
          <w:rFonts w:eastAsia="楷体_GB2312"/>
          <w:sz w:val="32"/>
          <w:szCs w:val="32"/>
        </w:rPr>
      </w:pPr>
      <w:r>
        <w:rPr>
          <w:rFonts w:hint="eastAsia" w:eastAsia="楷体_GB2312"/>
          <w:sz w:val="32"/>
          <w:szCs w:val="32"/>
        </w:rPr>
        <w:t>（</w:t>
      </w:r>
      <w:r>
        <w:rPr>
          <w:rFonts w:eastAsia="楷体_GB2312"/>
          <w:sz w:val="32"/>
          <w:szCs w:val="32"/>
        </w:rPr>
        <w:t>四</w:t>
      </w:r>
      <w:r>
        <w:rPr>
          <w:rFonts w:hint="eastAsia" w:eastAsia="楷体_GB2312"/>
          <w:sz w:val="32"/>
          <w:szCs w:val="32"/>
        </w:rPr>
        <w:t>）</w:t>
      </w:r>
      <w:r>
        <w:rPr>
          <w:rFonts w:eastAsia="楷体_GB2312"/>
          <w:sz w:val="32"/>
          <w:szCs w:val="32"/>
        </w:rPr>
        <w:t>绩效评价实施过程</w:t>
      </w:r>
    </w:p>
    <w:p>
      <w:pPr>
        <w:spacing w:line="600" w:lineRule="exact"/>
        <w:ind w:firstLine="640"/>
        <w:rPr>
          <w:rFonts w:eastAsia="仿宋_GB2312"/>
          <w:sz w:val="32"/>
          <w:szCs w:val="32"/>
        </w:rPr>
      </w:pPr>
      <w:r>
        <w:rPr>
          <w:rFonts w:eastAsia="仿宋_GB2312"/>
          <w:sz w:val="32"/>
          <w:szCs w:val="32"/>
        </w:rPr>
        <w:t>项目组在前期调研的基础上，完成了项目绩效评价工作方案，设计了指标体系，评价标准，问卷调查方案等，明确了评价的目的、方法、评价的原则，项目组严格按照工作方案，通过调研、相关文件的解读、数据采集、问卷调查、数据分析、指标评分和报告撰写等环节,顺利完成了本次绩效评价工作。</w:t>
      </w:r>
    </w:p>
    <w:p>
      <w:pPr>
        <w:spacing w:line="600" w:lineRule="exact"/>
        <w:ind w:firstLine="64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w:t>
      </w:r>
      <w:r>
        <w:rPr>
          <w:rFonts w:eastAsia="仿宋_GB2312"/>
          <w:sz w:val="32"/>
          <w:szCs w:val="32"/>
        </w:rPr>
        <w:t>在数据采集时，采取客观数据，负责部门审查，与问卷调查相结合的形式，以保证各项指标的真实性。</w:t>
      </w:r>
    </w:p>
    <w:p>
      <w:pPr>
        <w:spacing w:line="600" w:lineRule="exact"/>
        <w:ind w:firstLine="64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eastAsia="仿宋_GB2312"/>
          <w:sz w:val="32"/>
          <w:szCs w:val="32"/>
        </w:rPr>
        <w:t>保证评价结果的真实性、公正性，提高评价报告的公信力。</w:t>
      </w:r>
    </w:p>
    <w:p>
      <w:pPr>
        <w:spacing w:line="600" w:lineRule="exact"/>
        <w:ind w:firstLine="64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w:t>
      </w:r>
      <w:r>
        <w:rPr>
          <w:rFonts w:eastAsia="仿宋_GB2312"/>
          <w:sz w:val="32"/>
          <w:szCs w:val="32"/>
        </w:rPr>
        <w:t>绩效评价报告应当简明扼要，除了对绩效评价的过程，结果描述外，还应指出问题及可能存在的风险，并就共性问题提出可操作性改进建议。</w:t>
      </w:r>
    </w:p>
    <w:p>
      <w:pPr>
        <w:topLinePunct/>
        <w:spacing w:line="600" w:lineRule="exact"/>
        <w:ind w:firstLine="640" w:firstLineChars="200"/>
        <w:rPr>
          <w:rFonts w:eastAsia="楷体_GB2312"/>
          <w:sz w:val="32"/>
          <w:szCs w:val="32"/>
        </w:rPr>
      </w:pPr>
      <w:r>
        <w:rPr>
          <w:rFonts w:eastAsia="楷体_GB2312"/>
          <w:sz w:val="32"/>
          <w:szCs w:val="32"/>
        </w:rPr>
        <w:t>（五</w:t>
      </w:r>
      <w:r>
        <w:rPr>
          <w:rFonts w:hint="eastAsia" w:eastAsia="楷体_GB2312"/>
          <w:sz w:val="32"/>
          <w:szCs w:val="32"/>
        </w:rPr>
        <w:t>）</w:t>
      </w:r>
      <w:r>
        <w:rPr>
          <w:rFonts w:eastAsia="楷体_GB2312"/>
          <w:sz w:val="32"/>
          <w:szCs w:val="32"/>
        </w:rPr>
        <w:t>绩效评价的局限性</w:t>
      </w:r>
    </w:p>
    <w:p>
      <w:pPr>
        <w:spacing w:line="600" w:lineRule="exact"/>
        <w:ind w:firstLine="640"/>
        <w:rPr>
          <w:rFonts w:eastAsia="仿宋_GB2312"/>
          <w:sz w:val="32"/>
          <w:szCs w:val="32"/>
        </w:rPr>
      </w:pPr>
      <w:r>
        <w:rPr>
          <w:rFonts w:eastAsia="仿宋_GB2312"/>
          <w:sz w:val="32"/>
          <w:szCs w:val="32"/>
        </w:rPr>
        <w:t>本着操作性强的原则，选择取数相对容易的指标构成指标体系，可能在一定程度上削弱指标对绩效目标的反映情况。</w:t>
      </w:r>
    </w:p>
    <w:p>
      <w:pPr>
        <w:topLinePunct/>
        <w:spacing w:line="600" w:lineRule="exact"/>
        <w:ind w:firstLine="640" w:firstLineChars="200"/>
        <w:rPr>
          <w:rFonts w:eastAsia="黑体"/>
          <w:sz w:val="32"/>
          <w:szCs w:val="32"/>
        </w:rPr>
      </w:pPr>
      <w:r>
        <w:rPr>
          <w:rFonts w:eastAsia="黑体"/>
          <w:sz w:val="32"/>
          <w:szCs w:val="32"/>
        </w:rPr>
        <w:t>三、评价结论和绩效分析</w:t>
      </w:r>
    </w:p>
    <w:p>
      <w:pPr>
        <w:topLinePunct/>
        <w:spacing w:line="600" w:lineRule="exact"/>
        <w:ind w:firstLine="640" w:firstLineChars="200"/>
        <w:rPr>
          <w:rFonts w:eastAsia="楷体_GB2312"/>
          <w:sz w:val="32"/>
          <w:szCs w:val="32"/>
        </w:rPr>
      </w:pPr>
      <w:r>
        <w:rPr>
          <w:rFonts w:eastAsia="楷体_GB2312"/>
          <w:sz w:val="32"/>
          <w:szCs w:val="32"/>
        </w:rPr>
        <w:t>（一）评价结论</w:t>
      </w:r>
    </w:p>
    <w:p>
      <w:pPr>
        <w:topLinePunct/>
        <w:spacing w:line="600" w:lineRule="exact"/>
        <w:ind w:firstLine="640" w:firstLineChars="200"/>
        <w:rPr>
          <w:rFonts w:eastAsia="楷体_GB2312"/>
          <w:sz w:val="32"/>
          <w:szCs w:val="32"/>
        </w:rPr>
      </w:pPr>
      <w:r>
        <w:rPr>
          <w:rFonts w:eastAsia="楷体_GB2312"/>
          <w:sz w:val="32"/>
          <w:szCs w:val="32"/>
        </w:rPr>
        <w:t>1.评价结果</w:t>
      </w:r>
    </w:p>
    <w:p>
      <w:pPr>
        <w:spacing w:line="600" w:lineRule="exact"/>
        <w:ind w:firstLine="640"/>
        <w:rPr>
          <w:rFonts w:eastAsia="仿宋_GB2312"/>
          <w:sz w:val="32"/>
          <w:szCs w:val="32"/>
        </w:rPr>
      </w:pPr>
      <w:r>
        <w:rPr>
          <w:rFonts w:eastAsia="仿宋_GB2312"/>
          <w:sz w:val="32"/>
          <w:szCs w:val="32"/>
        </w:rPr>
        <w:t>本项目绩效目标根据部门绩效目标制定，真实有效地反映了部门的职能，并且绩效可考核。项目资金使用有效合理，有严格的财务及内控制度把关，没有超出预算范围使用的情况发生。项目绩效指标及时完成并且完成情况良好。</w:t>
      </w:r>
    </w:p>
    <w:p>
      <w:pPr>
        <w:topLinePunct/>
        <w:spacing w:line="600" w:lineRule="exact"/>
        <w:ind w:firstLine="640" w:firstLineChars="200"/>
        <w:rPr>
          <w:rFonts w:eastAsia="楷体_GB2312"/>
          <w:sz w:val="32"/>
          <w:szCs w:val="32"/>
        </w:rPr>
      </w:pPr>
      <w:r>
        <w:rPr>
          <w:rFonts w:eastAsia="楷体_GB2312"/>
          <w:sz w:val="32"/>
          <w:szCs w:val="32"/>
        </w:rPr>
        <w:t>2.主要绩效</w:t>
      </w:r>
    </w:p>
    <w:p>
      <w:pPr>
        <w:spacing w:line="600" w:lineRule="exact"/>
        <w:ind w:firstLine="640" w:firstLineChars="200"/>
        <w:rPr>
          <w:rFonts w:eastAsia="仿宋_GB2312"/>
          <w:sz w:val="32"/>
          <w:szCs w:val="32"/>
        </w:rPr>
      </w:pPr>
      <w:r>
        <w:rPr>
          <w:rFonts w:hint="eastAsia" w:eastAsia="仿宋_GB2312"/>
          <w:sz w:val="32"/>
          <w:szCs w:val="32"/>
        </w:rPr>
        <w:t>2021年是“十四五”规划的开局之年，报社以习近平新时代中国特色社会主义思想为指导，全面贯彻落实党的十九大和十九届历次全会精神，深入学习贯彻习近平总书记考察云南重要讲话精神，按照省委、市委的决策部署和市委宣传部的工作安排，自觉担负起举旗帜、聚民心、育新人、兴文化、展形象的使命任务，坚持守正创新，加快推进媒体深度融合发展，实施全媒体传播工程，做大做强新型主流媒体，为全力开创昆明生态化国际化现代化发展新局面营造了良好舆论氛围</w:t>
      </w:r>
      <w:r>
        <w:rPr>
          <w:rFonts w:eastAsia="仿宋_GB2312"/>
          <w:sz w:val="32"/>
          <w:szCs w:val="32"/>
        </w:rPr>
        <w:t>。</w:t>
      </w:r>
    </w:p>
    <w:p>
      <w:pPr>
        <w:topLinePunct/>
        <w:spacing w:line="600" w:lineRule="exact"/>
        <w:ind w:firstLine="640" w:firstLineChars="200"/>
        <w:rPr>
          <w:rFonts w:eastAsia="楷体_GB2312"/>
          <w:sz w:val="32"/>
          <w:szCs w:val="32"/>
        </w:rPr>
      </w:pPr>
      <w:r>
        <w:rPr>
          <w:rFonts w:hint="eastAsia" w:eastAsia="楷体_GB2312"/>
          <w:sz w:val="32"/>
          <w:szCs w:val="32"/>
        </w:rPr>
        <w:t>（二）具体绩效分析。</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项目决策方面，项目与所属部门长期发展目标和工作性质相匹配，并在前期对项目可行性进行过调研，符合要求。项目绩效目标的制定紧扣副刊定位和操作实际，能完整反映项目预期产出和效果，绩效指标清晰、可衡量。自评分19.5分。</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项目管理方面，预算编制围绕采编、采风活动实际情况，在需要调整预算时严格按照相关规定执行，资金使用合理、规范、节约，资金拨付程序完整，没有出现截留、挤占或挪用项目资金的情况。自评分20分。</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项目绩效方面，采编活动团队提前预热，刊发稿件，跟踪活动同步报道，圆满完成各项目标，社会效益和宣传效益达到预期目标。自评分59分。</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项目总评分98.5分。</w:t>
      </w:r>
    </w:p>
    <w:p>
      <w:pPr>
        <w:spacing w:line="600" w:lineRule="exact"/>
        <w:ind w:firstLine="640" w:firstLineChars="200"/>
        <w:rPr>
          <w:rFonts w:eastAsia="黑体"/>
          <w:sz w:val="32"/>
          <w:szCs w:val="32"/>
        </w:rPr>
      </w:pPr>
      <w:r>
        <w:rPr>
          <w:rFonts w:eastAsia="黑体"/>
          <w:sz w:val="32"/>
          <w:szCs w:val="32"/>
        </w:rPr>
        <w:t>四、成本效益分析</w:t>
      </w:r>
    </w:p>
    <w:p>
      <w:pPr>
        <w:topLinePunct/>
        <w:spacing w:line="600" w:lineRule="exact"/>
        <w:ind w:firstLine="640" w:firstLineChars="200"/>
        <w:rPr>
          <w:rFonts w:eastAsia="楷体_GB2312"/>
          <w:sz w:val="32"/>
          <w:szCs w:val="32"/>
        </w:rPr>
      </w:pPr>
      <w:r>
        <w:rPr>
          <w:rFonts w:eastAsia="楷体_GB2312"/>
          <w:sz w:val="32"/>
          <w:szCs w:val="32"/>
        </w:rPr>
        <w:t>1.项目的经济性分析</w:t>
      </w:r>
    </w:p>
    <w:p>
      <w:pPr>
        <w:spacing w:line="600" w:lineRule="exact"/>
        <w:ind w:firstLine="640"/>
        <w:rPr>
          <w:rFonts w:eastAsia="仿宋_GB2312"/>
          <w:sz w:val="32"/>
          <w:szCs w:val="32"/>
        </w:rPr>
      </w:pPr>
      <w:r>
        <w:rPr>
          <w:rFonts w:eastAsia="仿宋_GB2312"/>
          <w:sz w:val="32"/>
          <w:szCs w:val="32"/>
        </w:rPr>
        <w:t>在项目成本（预算）控制方面，主要从新闻纸的购进及印刷费、油墨、润版液等方面来控制，对项目相关的费用逐一列项，严格审查，在保证项目正常实施的情况下，节约各项开支。</w:t>
      </w:r>
    </w:p>
    <w:p>
      <w:pPr>
        <w:topLinePunct/>
        <w:spacing w:line="600" w:lineRule="exact"/>
        <w:ind w:firstLine="640" w:firstLineChars="200"/>
        <w:rPr>
          <w:rFonts w:eastAsia="楷体_GB2312"/>
          <w:sz w:val="32"/>
          <w:szCs w:val="32"/>
        </w:rPr>
      </w:pPr>
      <w:r>
        <w:rPr>
          <w:rFonts w:eastAsia="楷体_GB2312"/>
          <w:sz w:val="32"/>
          <w:szCs w:val="32"/>
        </w:rPr>
        <w:t>2.项目的效率性分析</w:t>
      </w:r>
    </w:p>
    <w:p>
      <w:pPr>
        <w:topLinePunct/>
        <w:spacing w:line="600" w:lineRule="exact"/>
        <w:ind w:firstLine="640" w:firstLineChars="200"/>
        <w:rPr>
          <w:rFonts w:hint="eastAsia" w:eastAsia="仿宋_GB2312"/>
          <w:sz w:val="32"/>
          <w:szCs w:val="32"/>
        </w:rPr>
      </w:pPr>
      <w:r>
        <w:rPr>
          <w:rFonts w:hint="eastAsia" w:eastAsia="仿宋_GB2312"/>
          <w:sz w:val="32"/>
          <w:szCs w:val="32"/>
        </w:rPr>
        <w:t>在2021年第三十一届中国新闻奖评选中，都市时报推出的文字通讯与深度报道作品荣获三等奖；在云南新闻奖、云南报业新闻奖及论文奖评选中，集团有62件作品获奖，连续8年排名全省州市媒体（含广电）第一名。此外，集团还有10件作品荣获中国城市党报新闻奖。</w:t>
      </w:r>
    </w:p>
    <w:p>
      <w:pPr>
        <w:topLinePunct/>
        <w:spacing w:line="600" w:lineRule="exact"/>
        <w:ind w:firstLine="640" w:firstLineChars="200"/>
        <w:rPr>
          <w:rFonts w:eastAsia="楷体_GB2312"/>
          <w:sz w:val="32"/>
          <w:szCs w:val="32"/>
        </w:rPr>
      </w:pPr>
      <w:r>
        <w:rPr>
          <w:rFonts w:eastAsia="楷体_GB2312"/>
          <w:sz w:val="32"/>
          <w:szCs w:val="32"/>
        </w:rPr>
        <w:t>3.项目有效性分析</w:t>
      </w:r>
    </w:p>
    <w:p>
      <w:pPr>
        <w:spacing w:line="600" w:lineRule="exact"/>
        <w:ind w:firstLine="640"/>
        <w:rPr>
          <w:rFonts w:eastAsia="仿宋_GB2312"/>
          <w:sz w:val="32"/>
          <w:szCs w:val="32"/>
        </w:rPr>
      </w:pPr>
      <w:r>
        <w:rPr>
          <w:rFonts w:hint="eastAsia" w:eastAsia="仿宋_GB2312"/>
          <w:sz w:val="32"/>
          <w:szCs w:val="32"/>
        </w:rPr>
        <w:t>在省委宣传部（省新闻出版局）组织的2021年全省报纸（17家党报、3家都市报）质量抽查中，《昆明日报》报纸质量排名第二位，《都市时报》报纸质量排名第四位。</w:t>
      </w:r>
    </w:p>
    <w:p>
      <w:pPr>
        <w:topLinePunct/>
        <w:spacing w:line="600" w:lineRule="exact"/>
        <w:ind w:firstLine="640" w:firstLineChars="200"/>
        <w:rPr>
          <w:rFonts w:eastAsia="楷体_GB2312"/>
          <w:sz w:val="32"/>
          <w:szCs w:val="32"/>
        </w:rPr>
      </w:pPr>
      <w:r>
        <w:rPr>
          <w:rFonts w:eastAsia="楷体_GB2312"/>
          <w:sz w:val="32"/>
          <w:szCs w:val="32"/>
        </w:rPr>
        <w:t>4.项目的可持续性分析</w:t>
      </w:r>
    </w:p>
    <w:p>
      <w:pPr>
        <w:spacing w:line="600" w:lineRule="exact"/>
        <w:ind w:firstLine="640"/>
        <w:rPr>
          <w:rFonts w:eastAsia="仿宋_GB2312"/>
          <w:sz w:val="32"/>
          <w:szCs w:val="32"/>
        </w:rPr>
      </w:pPr>
      <w:r>
        <w:rPr>
          <w:rFonts w:eastAsia="仿宋_GB2312"/>
          <w:sz w:val="32"/>
          <w:szCs w:val="32"/>
        </w:rPr>
        <w:t>当前和今后一段时间，昆明日报社及下属各媒体，将肩负起举旗帜、聚民心、育新人、兴文化、展形象的使命任务，紧紧围绕市委、市政府中心工作，弘扬主旋律、传播正能量，着力做好新闻宣传报道和舆论引导工作，为昆明高质量推进区域性国际中心城市建设营造良好舆论氛围。</w:t>
      </w:r>
    </w:p>
    <w:p>
      <w:pPr>
        <w:topLinePunct/>
        <w:spacing w:line="600" w:lineRule="exact"/>
        <w:ind w:firstLine="640" w:firstLineChars="200"/>
        <w:rPr>
          <w:rFonts w:eastAsia="楷体_GB2312"/>
          <w:sz w:val="32"/>
          <w:szCs w:val="32"/>
        </w:rPr>
      </w:pPr>
      <w:r>
        <w:rPr>
          <w:rFonts w:eastAsia="楷体_GB2312"/>
          <w:sz w:val="32"/>
          <w:szCs w:val="32"/>
        </w:rPr>
        <w:t>（一）主要经验及做法</w:t>
      </w:r>
    </w:p>
    <w:p>
      <w:pPr>
        <w:spacing w:line="600" w:lineRule="exact"/>
        <w:ind w:firstLine="640"/>
        <w:rPr>
          <w:rFonts w:eastAsia="仿宋_GB2312"/>
          <w:sz w:val="32"/>
          <w:szCs w:val="32"/>
        </w:rPr>
      </w:pPr>
      <w:r>
        <w:rPr>
          <w:rFonts w:eastAsia="仿宋_GB2312"/>
          <w:sz w:val="32"/>
          <w:szCs w:val="32"/>
        </w:rPr>
        <w:t>1.必须把坚持党的领导作为首要遵循，坚决贯彻落实党中央、省委、市委以及市委宣传部的决策部署，充分发挥党委总揽全局、协调各方的领导作用，牢牢把握工作的正确方向。</w:t>
      </w:r>
    </w:p>
    <w:p>
      <w:pPr>
        <w:spacing w:line="600" w:lineRule="exact"/>
        <w:ind w:firstLine="640"/>
        <w:rPr>
          <w:rFonts w:eastAsia="仿宋_GB2312"/>
          <w:sz w:val="32"/>
          <w:szCs w:val="32"/>
        </w:rPr>
      </w:pPr>
      <w:r>
        <w:rPr>
          <w:rFonts w:eastAsia="仿宋_GB2312"/>
          <w:sz w:val="32"/>
          <w:szCs w:val="32"/>
        </w:rPr>
        <w:t xml:space="preserve">2.必须把解放思想作为行动先导，以开阔的视野、前瞻的思维、先进的发展理念引领实践、推动工作，积极应对全媒体时代的新挑战，抢抓媒体融合新机遇，闯出一条跨越式发展的路子来。 </w:t>
      </w:r>
    </w:p>
    <w:p>
      <w:pPr>
        <w:spacing w:line="600" w:lineRule="exact"/>
        <w:ind w:firstLine="640"/>
        <w:rPr>
          <w:rFonts w:eastAsia="仿宋_GB2312"/>
          <w:sz w:val="32"/>
          <w:szCs w:val="32"/>
        </w:rPr>
      </w:pPr>
      <w:r>
        <w:rPr>
          <w:rFonts w:eastAsia="仿宋_GB2312"/>
          <w:sz w:val="32"/>
          <w:szCs w:val="32"/>
        </w:rPr>
        <w:t>3.必须把加快发展作为第一要务，坚持稳中求进工作总基调，固本强基，加快转变发展方式，持续优化经营结构，推动全媒体经营更有效率、更有质量、更加公平、更可持续地发展。</w:t>
      </w:r>
    </w:p>
    <w:p>
      <w:pPr>
        <w:spacing w:line="600" w:lineRule="exact"/>
        <w:ind w:firstLine="640"/>
        <w:rPr>
          <w:rFonts w:eastAsia="仿宋_GB2312"/>
          <w:sz w:val="32"/>
          <w:szCs w:val="32"/>
        </w:rPr>
      </w:pPr>
      <w:r>
        <w:rPr>
          <w:rFonts w:eastAsia="仿宋_GB2312"/>
          <w:sz w:val="32"/>
          <w:szCs w:val="32"/>
        </w:rPr>
        <w:t>4.必须把提高员工福祉作为最大责任，坚持以人为本不偏离、为员工服务不懈怠，切实解决好广大干部员工最关心最直接最现实的利益问题，不断提升广大干部员工的获得感和幸福感。</w:t>
      </w:r>
    </w:p>
    <w:p>
      <w:pPr>
        <w:spacing w:line="600" w:lineRule="exact"/>
        <w:ind w:firstLine="640"/>
        <w:rPr>
          <w:rFonts w:eastAsia="仿宋_GB2312"/>
          <w:sz w:val="32"/>
          <w:szCs w:val="32"/>
        </w:rPr>
      </w:pPr>
      <w:r>
        <w:rPr>
          <w:rFonts w:eastAsia="仿宋_GB2312"/>
          <w:sz w:val="32"/>
          <w:szCs w:val="32"/>
        </w:rPr>
        <w:t>5.必须把从严治党作为根本保障，坚持党要管党、全面从严治党，以党的建设和党风廉政建设新成效，加快打造一支政治过硬、本领高强、求实创新、能打胜仗的新闻舆论</w:t>
      </w:r>
      <w:r>
        <w:rPr>
          <w:rFonts w:hint="eastAsia" w:eastAsia="仿宋_GB2312"/>
          <w:sz w:val="32"/>
          <w:szCs w:val="32"/>
        </w:rPr>
        <w:t>“</w:t>
      </w:r>
      <w:r>
        <w:rPr>
          <w:rFonts w:eastAsia="仿宋_GB2312"/>
          <w:sz w:val="32"/>
          <w:szCs w:val="32"/>
        </w:rPr>
        <w:t>铁军</w:t>
      </w:r>
      <w:r>
        <w:rPr>
          <w:rFonts w:hint="eastAsia" w:eastAsia="仿宋_GB2312"/>
          <w:sz w:val="32"/>
          <w:szCs w:val="32"/>
        </w:rPr>
        <w:t>”</w:t>
      </w:r>
      <w:r>
        <w:rPr>
          <w:rFonts w:eastAsia="仿宋_GB2312"/>
          <w:sz w:val="32"/>
          <w:szCs w:val="32"/>
        </w:rPr>
        <w:t>。</w:t>
      </w:r>
    </w:p>
    <w:p>
      <w:pPr>
        <w:topLinePunct/>
        <w:spacing w:line="600" w:lineRule="exact"/>
        <w:ind w:firstLine="640" w:firstLineChars="200"/>
        <w:rPr>
          <w:rFonts w:eastAsia="楷体_GB2312"/>
          <w:sz w:val="32"/>
          <w:szCs w:val="32"/>
        </w:rPr>
      </w:pPr>
      <w:r>
        <w:rPr>
          <w:rFonts w:eastAsia="楷体_GB2312"/>
          <w:sz w:val="32"/>
          <w:szCs w:val="32"/>
        </w:rPr>
        <w:t>（二）存在的问题</w:t>
      </w:r>
    </w:p>
    <w:p>
      <w:pPr>
        <w:spacing w:line="600" w:lineRule="exact"/>
        <w:ind w:firstLine="640"/>
        <w:rPr>
          <w:rFonts w:eastAsia="仿宋_GB2312"/>
          <w:sz w:val="32"/>
          <w:szCs w:val="32"/>
        </w:rPr>
      </w:pPr>
      <w:r>
        <w:rPr>
          <w:rFonts w:eastAsia="仿宋_GB2312"/>
          <w:sz w:val="32"/>
          <w:szCs w:val="32"/>
        </w:rPr>
        <w:t>1.</w:t>
      </w:r>
      <w:r>
        <w:rPr>
          <w:rFonts w:hint="eastAsia" w:eastAsia="仿宋_GB2312"/>
          <w:sz w:val="32"/>
          <w:szCs w:val="32"/>
        </w:rPr>
        <w:t>虽然在西部地区省会城市党报集团中，集团媒体深度融合发展整体走在前列，但与广州、成都、杭州、南京等发达地区媒体“标兵”相比还有较大差距，急需走出云南、面向全国、辐射南亚东南亚。</w:t>
      </w:r>
      <w:r>
        <w:rPr>
          <w:rFonts w:eastAsia="仿宋_GB2312"/>
          <w:sz w:val="32"/>
          <w:szCs w:val="32"/>
        </w:rPr>
        <w:t>。</w:t>
      </w:r>
    </w:p>
    <w:p>
      <w:pPr>
        <w:spacing w:line="600" w:lineRule="exact"/>
        <w:ind w:firstLine="640"/>
        <w:rPr>
          <w:rFonts w:eastAsia="仿宋_GB2312"/>
          <w:sz w:val="32"/>
          <w:szCs w:val="32"/>
        </w:rPr>
      </w:pPr>
      <w:r>
        <w:rPr>
          <w:rFonts w:eastAsia="仿宋_GB2312"/>
          <w:sz w:val="32"/>
          <w:szCs w:val="32"/>
        </w:rPr>
        <w:t>2.经济实力在西部城市党报集团中位居前列，但经济总量还不够大，存在媒体转型发展不平衡，有的单位、部门经营效益不好、经济实力不强、经营业态不优等问题。</w:t>
      </w:r>
    </w:p>
    <w:p>
      <w:pPr>
        <w:topLinePunct/>
        <w:spacing w:line="600" w:lineRule="exact"/>
        <w:ind w:firstLine="640" w:firstLineChars="200"/>
        <w:rPr>
          <w:rFonts w:eastAsia="楷体_GB2312"/>
          <w:sz w:val="32"/>
          <w:szCs w:val="32"/>
        </w:rPr>
      </w:pPr>
      <w:r>
        <w:rPr>
          <w:rFonts w:eastAsia="楷体_GB2312"/>
          <w:sz w:val="32"/>
          <w:szCs w:val="32"/>
        </w:rPr>
        <w:t>（三）建议和改进措施</w:t>
      </w:r>
    </w:p>
    <w:p>
      <w:pPr>
        <w:spacing w:line="600" w:lineRule="exact"/>
        <w:ind w:firstLine="640"/>
        <w:rPr>
          <w:rFonts w:hint="eastAsia" w:eastAsia="仿宋_GB2312"/>
          <w:sz w:val="32"/>
          <w:szCs w:val="32"/>
        </w:rPr>
      </w:pPr>
      <w:r>
        <w:rPr>
          <w:rFonts w:hint="eastAsia" w:eastAsia="仿宋_GB2312"/>
          <w:sz w:val="32"/>
          <w:szCs w:val="32"/>
        </w:rPr>
        <w:t>一是要坚定不移抓好重大主题宣传和成就报道，推动习近平新时代中国特色社会主义思想深入人心。</w:t>
      </w:r>
    </w:p>
    <w:p>
      <w:pPr>
        <w:spacing w:line="600" w:lineRule="exact"/>
        <w:ind w:firstLine="640"/>
        <w:rPr>
          <w:rFonts w:hint="eastAsia" w:eastAsia="仿宋_GB2312"/>
          <w:sz w:val="32"/>
          <w:szCs w:val="32"/>
        </w:rPr>
      </w:pPr>
      <w:r>
        <w:rPr>
          <w:rFonts w:hint="eastAsia" w:eastAsia="仿宋_GB2312"/>
          <w:sz w:val="32"/>
          <w:szCs w:val="32"/>
        </w:rPr>
        <w:t>二是要坚定不移推进媒体深度融合发展，不断提升传播力、引导力、影响力和公信力。</w:t>
      </w:r>
    </w:p>
    <w:p>
      <w:pPr>
        <w:spacing w:line="600" w:lineRule="exact"/>
        <w:ind w:firstLine="640"/>
        <w:rPr>
          <w:rFonts w:hint="eastAsia" w:eastAsia="仿宋_GB2312"/>
          <w:sz w:val="32"/>
          <w:szCs w:val="32"/>
        </w:rPr>
      </w:pPr>
      <w:r>
        <w:rPr>
          <w:rFonts w:hint="eastAsia" w:eastAsia="仿宋_GB2312"/>
          <w:sz w:val="32"/>
          <w:szCs w:val="32"/>
        </w:rPr>
        <w:t>三是要坚定不移走转型发展、高质量发展之路，进一步夯实集团整体实力。</w:t>
      </w:r>
    </w:p>
    <w:p>
      <w:pPr>
        <w:spacing w:line="600" w:lineRule="exact"/>
        <w:ind w:firstLine="640"/>
        <w:rPr>
          <w:rFonts w:hint="eastAsia" w:eastAsia="仿宋_GB2312"/>
          <w:sz w:val="32"/>
          <w:szCs w:val="32"/>
        </w:rPr>
      </w:pPr>
      <w:r>
        <w:rPr>
          <w:rFonts w:hint="eastAsia" w:eastAsia="仿宋_GB2312"/>
          <w:sz w:val="32"/>
          <w:szCs w:val="32"/>
        </w:rPr>
        <w:t>四是要坚定不移改革创新增活力，为集团发展提供坚强制度保障、人才保障。</w:t>
      </w:r>
    </w:p>
    <w:p>
      <w:pPr>
        <w:spacing w:line="600" w:lineRule="exact"/>
        <w:rPr>
          <w:rFonts w:hint="eastAsia" w:eastAsia="黑体"/>
          <w:bCs/>
          <w:sz w:val="32"/>
          <w:szCs w:val="32"/>
        </w:rPr>
      </w:pPr>
      <w:r>
        <w:rPr>
          <w:rFonts w:eastAsia="黑体"/>
          <w:bCs/>
          <w:sz w:val="32"/>
          <w:szCs w:val="32"/>
        </w:rPr>
        <w:br w:type="page"/>
      </w:r>
      <w:r>
        <w:rPr>
          <w:rFonts w:eastAsia="楷体_GB2312"/>
          <w:sz w:val="32"/>
          <w:szCs w:val="32"/>
        </w:rPr>
        <w:t>项目二</w:t>
      </w:r>
      <w:r>
        <w:rPr>
          <w:rFonts w:hint="eastAsia" w:eastAsia="楷体_GB2312"/>
          <w:sz w:val="32"/>
          <w:szCs w:val="32"/>
        </w:rPr>
        <w:t>：</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互联网新闻宣传和政务服务项目</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支出绩效自评报告</w:t>
      </w:r>
    </w:p>
    <w:p>
      <w:pPr>
        <w:topLinePunct/>
        <w:spacing w:line="600" w:lineRule="exact"/>
        <w:ind w:firstLine="640" w:firstLineChars="200"/>
        <w:rPr>
          <w:rFonts w:hint="eastAsia" w:ascii="黑体" w:hAnsi="Calibri" w:eastAsia="黑体"/>
          <w:sz w:val="32"/>
          <w:szCs w:val="32"/>
        </w:rPr>
      </w:pPr>
    </w:p>
    <w:p>
      <w:pPr>
        <w:topLinePunct/>
        <w:spacing w:line="600" w:lineRule="exact"/>
        <w:ind w:firstLine="640" w:firstLineChars="200"/>
        <w:rPr>
          <w:rFonts w:ascii="黑体" w:hAnsi="Calibri" w:eastAsia="黑体"/>
          <w:sz w:val="32"/>
          <w:szCs w:val="32"/>
        </w:rPr>
      </w:pPr>
      <w:r>
        <w:rPr>
          <w:rFonts w:hint="eastAsia" w:ascii="黑体" w:hAnsi="Calibri" w:eastAsia="黑体"/>
          <w:sz w:val="32"/>
          <w:szCs w:val="32"/>
        </w:rPr>
        <w:t>一、项目基本情况</w:t>
      </w:r>
    </w:p>
    <w:p>
      <w:pPr>
        <w:topLinePunct/>
        <w:spacing w:line="600" w:lineRule="exact"/>
        <w:ind w:firstLine="800" w:firstLineChars="250"/>
        <w:rPr>
          <w:rFonts w:hint="eastAsia" w:ascii="楷体" w:hAnsi="楷体" w:eastAsia="楷体" w:cs="楷体"/>
          <w:sz w:val="32"/>
          <w:szCs w:val="32"/>
        </w:rPr>
      </w:pPr>
      <w:r>
        <w:rPr>
          <w:rFonts w:hint="eastAsia" w:ascii="楷体" w:hAnsi="楷体" w:eastAsia="楷体" w:cs="楷体"/>
          <w:sz w:val="32"/>
          <w:szCs w:val="32"/>
        </w:rPr>
        <w:t>（一）项目概况</w:t>
      </w:r>
    </w:p>
    <w:p>
      <w:pPr>
        <w:topLinePunct/>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1.项目立项背景及目的</w:t>
      </w:r>
    </w:p>
    <w:p>
      <w:pPr>
        <w:topLinePunct/>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年1月，市委九届四次全会报告提出:“加快启动昆明信息港建设，确保一年开港投运。”昆明信息港以原市政府公众网、市委宣传部新昆明网和昆明日报社彩龙中国新闻网为基础，整合全市互联网资源，由云南电信昆明分公司投资建设。时年12月完成一期建设并开港运行。</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2010年12月，昆明市委办公厅、昆明市政府办公厅印发《关于加强和改进我市互联网信息管理工作的意见》（昆办发〔2010〕30号文件），要求巩固和完善互联网宣传和服务平台，做大做强我市互联网综合城市门户和政务服务门户。不断完善昆明信息港综合城市门户网，加大市级财政对昆明信息港的扶持力度，确保其网上新闻宣传、舆论引导、政务服务及其他公共公益性服务的工作经费。</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2.项目实施情况</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昆明市委办公厅、昆明市政府办公厅《昆明信息港“中国昆明”政务网运行管理制度（试行）》（昆办发〔2009〕6号文件）精神，昆明信息港由中共昆明市委、市政府主办。昆明日报社承办。昆明信息港管理委员会是网站的管理主体。在项目组织实施上，由管委会领导总负责，分管领导牵头的项目负责制。昆明信息港负责实施项目。</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3.资金来源及使用情况</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项目资金来源为财政拨款，预算资金200万元于2021年3月份拨付到位，全部用于互联网新闻宣传和政务服务项目支出。</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4.组织及管理情况</w:t>
      </w:r>
    </w:p>
    <w:p>
      <w:pPr>
        <w:topLinePunct/>
        <w:spacing w:line="600" w:lineRule="exact"/>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2009年4月，昆明市委办公厅、昆明市政府办公厅印发《昆明信息港“中国昆明”政务网运行管理制度（试行）、限期规范部门子网站英文域名的通知、部门子网站英文域名管理制度（试行）等三个文件的通知》（昆办发〔2009〕6号文件），明确了中共昆明市委宣传部负责指导和监督昆明信息港管理委员会开展网站新闻宣传、把握正确舆论导向；昆明市人民政府信息产业办负责指导和协调昆明信息港管理委员会开展“中国昆明”政务网相关工作；昆明信息港管理委员会负责“中国昆明”政务网主网站的建设维护、运行管理及网站栏目策划、内容组织、信息采编、审核发布等工作，对各部门子网站的建设及应用情况进行协调和监督。</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2009年9月，昆明市委办公厅、昆明市政府办公厅转发《关于进一步完善和提升昆明信息港服务功能的实施方案的通知》（昆办通〔2009〕46号文件），提出昆明信息港要紧紧围绕市委、市政府中心工作，坚持团结稳定鼓劲、正面宣传为主，坚持“三贴近”，唱响主旋律，充分整合、挖掘、利用现有资源，继续创新和丰富网络传播方式，发挥网上宣传核心平台作用，不断提升网站的对外影响力和舆论引导水平。</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（二）绩效目标</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和党的十九大精神为指引，牢固树立“四个意识”，坚定“四个自信”，牢记习近平总书记提出的党的新闻舆论工作48字职责使命，在省市宣传部、网信办的精心指导下，在昆明报业传媒集团的领导下，紧紧围绕习近平总书记对云南发展的重要指示精神，切实担负起“举旗帜、聚民心、育新人、兴文化、展形象”使命任务，坚持正面宣传为主，唱响主旋律，充分整合、挖掘利用新闻资源，不断创新和丰富网络传播方式，不断提升网站的对外影响力和舆论引导水平，为区域性国际中心城市建设提供有力的网络舆论支撑。</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2.年度目标</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（一）年度目标</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落实全国、省、市宣传思想工作会议和网信工作会议精神，突出做好习近平新时代中国特色社会主义思想以及十九大和十九届历次全会精神宣传，聚焦主题主线，围绕中国共产党成立100周年、“十四五”开局、“COP15”、生态文明建设、三大城市品牌、决战脱贫攻坚、抗击新冠肺炎疫情等主题开展宣传，为奋力开启区域性国际中心城市建设新征程凝聚强大精神力量。</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1.高举旗帜坚守阵地，唱响主旋律，突出做好习近平新时代中国特色社会主义思想宣传。全年累计发稿16000篇。</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紧扣市委、市政府中心工作，充分发挥互联网传播优势，旗帜鲜明地唱响主旋律，围绕讲好昆明故事、传播春城声音、塑造城市形象，创新宣传方法手段、拓展宣传平台渠道、为昆明的改革发展稳定营造良好的网上舆论环境。全年发稿约64000篇。</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3.充分利用英文、缅文多语种采编优势，不断创新外宣传播形式和手段，拓宽面向南亚东南亚国家网络传播渠道，为讲好中国故事、传播云南声音、塑造春城形象提供有力支撑。全年发稿1300篇。</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4.维护“中国昆明”政务网，发布党务政务信息。全年发稿约9000篇。</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（二）产出社会效益</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1.牢牢把握正确的政治方向和舆论导向，推动习近平新时代中国特色社会主义思想始终成为网络空间最强音。</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2.全方位、多角度、全平台做好昆滇学习贯彻习近平新时代中国特色社会主义思想取得的新进展、新成效，塑造昆明加快开放发展的崭新形象，着力营造建设区域性国际中心城市良好网络舆论环境。</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3.服务市委市</w:t>
      </w:r>
      <w:r>
        <w:rPr>
          <w:rFonts w:hint="eastAsia"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rPr>
        <w:t>府中心工作，通过项目实施，保障新闻宣传的高质量供给，提高新闻舆论的传播力、引导力、影响力、公信力。</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二、绩效评价工作情况</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（一）绩效评价目的</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本次绩效评价，全面了解项目决策、过程、产出和效益等情况，评价财政资金使用绩效，找出存在的问题和原因，提出建设性意见建议，进一步规范资金分配和使用，并将绩效评价结果作为编报下年预算、改进加强管理、完善政策的重要依据，进一步提高资金使用效益。</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（二）绩效评价工作方案制定过程</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预算法》《昆明市预算绩效管理暂行办法》（昆政办〔2013〕129号）《昆明市本级部门预算绩效自评管理暂行办法》等有关规定，结合部门职能职责，对照项目目标和实际完成情况，由单位分管领导牵头，各项目实施部门具体负责项目评价工作。</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绩效评价围绕绩效目标的设定、资金投入和使用、为实现绩效目标制定的制度、采取的措施、绩效目标的实现程度及效果等方面内容开展自评。</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（三）绩效评价原则、评价方法</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1.绩效评价原则</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绩效评价根据设定的绩效目标，运用科学、合理的绩效评价指标、评价标准和评价方法，对财政支出的经济性、效率性和效益性进行客观、公正的评价。</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2.绩效评价方法</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绩效指标遵循重要性、系统性、可比性等原则，在共性指标体系框架的基础上，结合项目预算批复的部门整体支出和项目支出绩效指标、部门职责以及项目特点，补充设计并确定个性指标。</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采用成本效益分析法、因素分析法等方式，坚持简便有效的原则评价绩效目标实现程度。</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（四）绩效评价实施过程</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财政局绩效评价工作的安排部署，启动年度评价工作，明确自评工作要求，分类制定自评项目共性指标及自评表，开展绩效自评工作，收集评价基础材料、选取评价指标、选用评价方法、综合分析评价，确定评价结果，结合季度项目跟踪，做好项目跟踪评价。</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（五）本次绩效评价的局限性</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本次项目评价由具体执行部门进行，依靠财政等有关部门和单位的指导，但新闻宣传服务类项目评价还存在一些难点，结合指标设置还有一定的局限性。</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三、评价结论和绩效分析</w:t>
      </w:r>
    </w:p>
    <w:p>
      <w:pPr>
        <w:topLinePunct/>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（一）评价结论</w:t>
      </w:r>
    </w:p>
    <w:p>
      <w:pPr>
        <w:topLinePunct/>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1.评价结果</w:t>
      </w:r>
    </w:p>
    <w:p>
      <w:pPr>
        <w:topLinePunct/>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项目实施情况较好，项目资金能及时到位，项目管理规范、项目社会效益良好，党委政府对项目实施的满意度较高，自评98.5分，评价等级为优。</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2.主要绩效</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媒体平台累计发布稿件181500余篇（组），其中城市门户发稿97000余篇，资讯频道发布民生资讯40500多篇，微信公众号、微博、抖音、头条等平台发稿44000余条。累计生产10万+作品448件，100万+作品65件，1000万+作品2件。</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正确政治方向和舆论导向，认真做好习近平新时代中国特色社会主义思想宣传。围绕习近平总书记重要活动、重要讲话、重大主题宣传等，发布指令稿件30000余篇（条），共制作《奋斗百年路启航新征程》《习近平总书记“七一”重要讲话精神》等新闻专题46个，始终用习近平新时代中国特色社会主义思想引领网站首页、首屏和头条。</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积极主动，浓墨重彩，做好重大主题宣传报道。开设“奋斗百年路启航新征程——庆祝中国共产党建党百年”“深入学习贯彻十九届六中全会精神”“迎接COP15”等重点专题专栏，及时转载、集纳中央、省、市主流媒体权威报道。派记者采访省市系列发布会，并对相关稿件进行重点呈现。  </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（3）围绕中心、服务大局，抓好省市重要主题宣传和舆论引导。紧扣“党史学习教育”“省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两会”“脱贫攻坚”“乡村振兴”“教育改革”“生态治理”等主题开展宣传报道，利用图文、图解、H5、海报新闻等形式全媒体呈现。开设专题专栏，全面宣传省、市“十三五”成就、“十四五”规划及“二0三五远景目标纲要建议”。及时发布并深入解读云南省委省政府州市系列现场办公会精神，特别是昆明现场办公会精神。</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（4）努力提升国际传播能力，通过开展“海外看昆滇”活动、“在昆外国人看昆明”系列访谈、“外国人话云南”短视频征集大赛等线上线下相结合的形式，对外讲好中国故事，展示良好的昆滇形象。</w:t>
      </w:r>
    </w:p>
    <w:p>
      <w:pPr>
        <w:topLinePunct/>
        <w:spacing w:line="600" w:lineRule="exact"/>
        <w:ind w:firstLine="800" w:firstLineChars="250"/>
        <w:rPr>
          <w:rFonts w:hint="eastAsia" w:ascii="楷体" w:hAnsi="楷体" w:eastAsia="楷体" w:cs="楷体"/>
          <w:sz w:val="32"/>
          <w:szCs w:val="32"/>
        </w:rPr>
      </w:pPr>
      <w:r>
        <w:rPr>
          <w:rFonts w:hint="eastAsia" w:ascii="楷体" w:hAnsi="楷体" w:eastAsia="楷体" w:cs="楷体"/>
          <w:sz w:val="32"/>
          <w:szCs w:val="32"/>
        </w:rPr>
        <w:t>（二）具体绩效分析</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项目决策。与部门中长期规划相适应，立项依据充分、规范，绩效目标设定合理指标明确。自评19.5分。</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项目管理。预算编制合理，执行到位，财务制度健全，监控有效，符合预算批复的用途，不存在截留、挤占、挪用、虚列支出等情况，项目实施管理制度有效。自评19分。</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产出。维护城市门户和综合新闻网，重点做好习近平新时代中国特色社会主义思想的宣传报道；对昆明市重要会议、活动、事件采访并全媒体报道；针对全市中心工作、重点项目、热点话题推出专题栏目。维护市人民政府“中国昆明”政务网政务信息公开。年度信息内容发布准确，技术安全保障有力。自评60分。</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总分98.5分。</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四、成本效益分析</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全部用于互联网新闻宣传和政务服务支出。当前，新闻舆论工作处在意识形态斗争最前沿。昆港互联网新闻宣传和政务服务项目，依托城市门户和综合新闻网、“昆明市人民政府”政务网以及各新媒体平台，平均每年编发稿件达10多万篇，牢牢守住了昆滇网上舆论重要阵地。各平台除发布国家、省、市宣传稿件外，还有大量原创、约稿等报道。面对如此庞大的稿量，项目工作任务开支经费明显过低。</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在资金使用效果方面，一是巩固和壮大了党的舆论阵地。项目实施，坚持马克思主义新闻观，坚持正确政治方向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正面宣传为主，发挥主流网络媒体平台优势，正本溯源，激浊扬清。二是较好履行了地方网媒职责。围绕市委市府中心工作，聚焦围绕打赢三大攻坚战、区域性国际中心城市建设、滇池治理、生态文明建设、三大城市品牌等主题宣传。同时借力微信、微博、抖音等新媒体平台，宣传了昆滇形象，传播了昆滇声音。</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五、主要经验及做法、存在的问题和建议</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（一）主要经验及做法</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财政部门监管有力，经费到位及时，在资金使用上严格按照规定执行，做到资金使用的安全规范，保证经费及时到位和合理使用。项目实施过程中，事前有设计规划、事中有监督检查、事后有跟踪问效。</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（二）存在的问题</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部分指标难以进行绩效评价，绩效指标设置还需完善，对支出绩效跟踪监管力度还需加强。</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（三）建议和改进措施。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共中央办公厅、国务院办公厅印发《关于加快推进媒体深度融合发展的意见》指出，要推动主力军全面挺进主战场，以互联网思维优化资源配置，把更多优质内容、先进技术、专业人才、项目资金向互联网主阵地汇集、向移动端倾斜，让分散在网下的力量尽快进军网上、深入网上，做大做强网络平台，占领新兴传播阵地。希望能在资金安排或政策支持上予以倾斜，不断巩固互联网意识形态阵地，壮大主流思想文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2.进一步完善年初绩效指标设置，按照年初目标合理设置绩效指标，便于开展绩效跟踪与管理。</w:t>
      </w:r>
    </w:p>
    <w:p>
      <w:pPr>
        <w:spacing w:line="600" w:lineRule="exact"/>
        <w:rPr>
          <w:rFonts w:hint="eastAsia" w:eastAsia="黑体"/>
          <w:bCs/>
          <w:sz w:val="32"/>
          <w:szCs w:val="32"/>
        </w:rPr>
      </w:pPr>
      <w:r>
        <w:rPr>
          <w:rFonts w:hint="eastAsia" w:eastAsia="黑体"/>
          <w:bCs/>
          <w:sz w:val="32"/>
          <w:szCs w:val="32"/>
        </w:rPr>
        <w:br w:type="page"/>
      </w:r>
      <w:r>
        <w:rPr>
          <w:rFonts w:hint="eastAsia" w:ascii="楷体" w:hAnsi="楷体" w:eastAsia="楷体" w:cs="楷体"/>
          <w:bCs/>
          <w:sz w:val="32"/>
          <w:szCs w:val="32"/>
        </w:rPr>
        <w:t>项目三：</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《看昆明》外宣杂志编辑出版补助项目</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支出绩效自评报告</w:t>
      </w:r>
    </w:p>
    <w:p>
      <w:pPr>
        <w:spacing w:line="600" w:lineRule="exact"/>
        <w:ind w:firstLine="420" w:firstLineChars="200"/>
        <w:rPr>
          <w:rFonts w:ascii="黑体" w:hAnsi="黑体" w:eastAsia="黑体"/>
          <w:szCs w:val="32"/>
        </w:rPr>
      </w:pPr>
    </w:p>
    <w:p>
      <w:pPr>
        <w:topLinePunct/>
        <w:spacing w:line="600" w:lineRule="exact"/>
        <w:ind w:firstLine="640" w:firstLineChars="200"/>
        <w:rPr>
          <w:rFonts w:ascii="黑体" w:hAnsi="Calibri" w:eastAsia="黑体"/>
          <w:sz w:val="32"/>
          <w:szCs w:val="32"/>
        </w:rPr>
      </w:pPr>
      <w:r>
        <w:rPr>
          <w:rFonts w:hint="eastAsia" w:ascii="黑体" w:hAnsi="Calibri" w:eastAsia="黑体"/>
          <w:sz w:val="32"/>
          <w:szCs w:val="32"/>
        </w:rPr>
        <w:t>一、项目基本情况</w:t>
      </w:r>
    </w:p>
    <w:p>
      <w:pPr>
        <w:topLinePunct/>
        <w:spacing w:line="600" w:lineRule="exact"/>
        <w:ind w:firstLine="640" w:firstLineChars="200"/>
        <w:rPr>
          <w:rFonts w:ascii="楷体" w:hAnsi="楷体" w:eastAsia="楷体"/>
          <w:sz w:val="32"/>
          <w:szCs w:val="32"/>
        </w:rPr>
      </w:pPr>
      <w:r>
        <w:rPr>
          <w:rFonts w:hint="eastAsia" w:ascii="楷体" w:hAnsi="楷体" w:eastAsia="楷体"/>
          <w:sz w:val="32"/>
          <w:szCs w:val="32"/>
        </w:rPr>
        <w:t>（一）项目概况。</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1.立项背景及目的。</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认真贯彻落实全国、全省、全市宣传思想工作会议精神，创新新形势下外宣工作，着力壮大主流思想舆论，着力讲好昆明故事、传播春城声音、塑造城市形象，不断提高昆明的美誉度和吸引力，为加快把昆明建设成为立足西南、面向全国、辐射南亚东南亚的区域性国际中心城市营造良好国际舆论氛围。</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2.项目实施情况。</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实施以来，每期杂志文图并茂讲好中国故事、云南故事、昆明故事，刊载反映“一带一路”倡议、“人类命运共同体”、生物多样性成就等重大主题的内容，刊载外国人笔下的昆明（文字作品）/外国人眼中的昆明（摄影作品）等特约稿件，杂志发行覆盖各高校留学生学院、涉外宾馆饭店、驻昆总领事馆等，同时开通“看昆明”微信公众号，进行线上宣传。</w:t>
      </w:r>
    </w:p>
    <w:p>
      <w:pPr>
        <w:topLinePunct/>
        <w:spacing w:line="600" w:lineRule="exact"/>
        <w:ind w:firstLine="420"/>
        <w:rPr>
          <w:rFonts w:hint="eastAsia" w:ascii="仿宋_GB2312" w:hAnsi="楷体" w:eastAsia="仿宋_GB2312"/>
          <w:sz w:val="32"/>
          <w:szCs w:val="32"/>
        </w:rPr>
      </w:pPr>
      <w:r>
        <w:rPr>
          <w:rFonts w:hint="eastAsia" w:ascii="仿宋_GB2312" w:hAnsi="楷体" w:eastAsia="仿宋_GB2312"/>
          <w:sz w:val="32"/>
          <w:szCs w:val="32"/>
        </w:rPr>
        <w:t>3.资金来源及使用情况。</w:t>
      </w:r>
    </w:p>
    <w:p>
      <w:pPr>
        <w:topLinePunct/>
        <w:spacing w:line="600" w:lineRule="exact"/>
        <w:ind w:firstLine="420"/>
        <w:rPr>
          <w:rFonts w:ascii="仿宋_GB2312" w:hAnsi="楷体" w:eastAsia="仿宋_GB2312"/>
          <w:sz w:val="32"/>
          <w:szCs w:val="32"/>
        </w:rPr>
      </w:pPr>
      <w:r>
        <w:rPr>
          <w:rFonts w:hint="eastAsia" w:ascii="仿宋_GB2312" w:hAnsi="楷体" w:eastAsia="仿宋_GB2312"/>
          <w:sz w:val="32"/>
          <w:szCs w:val="32"/>
        </w:rPr>
        <w:t>市财政每年补助120万元，其余资金由昆明日报社自筹解决。</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4.组织及管理情况。</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项目组织情况：《看昆明》杂志由昆明日报社按照新闻采编规范和流程，严格实施新闻采写规范制度、三审三校出版制度。</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项目实施流程：选题策划——选题审核——稿件采访——编辑——翻译——排版——中英文校对——审核——印刷——发行。</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资金拨付流程：资金拨付严格按照财务资金使用规范和昆明日报社财务管理相关流程执行。</w:t>
      </w:r>
    </w:p>
    <w:p>
      <w:pPr>
        <w:topLinePunct/>
        <w:spacing w:line="600" w:lineRule="exact"/>
        <w:ind w:firstLine="800" w:firstLineChars="250"/>
        <w:rPr>
          <w:rFonts w:ascii="楷体" w:hAnsi="楷体" w:eastAsia="楷体"/>
          <w:sz w:val="32"/>
          <w:szCs w:val="32"/>
        </w:rPr>
      </w:pPr>
      <w:r>
        <w:rPr>
          <w:rFonts w:hint="eastAsia" w:ascii="楷体" w:hAnsi="楷体" w:eastAsia="楷体"/>
          <w:sz w:val="32"/>
          <w:szCs w:val="32"/>
        </w:rPr>
        <w:t>（二）绩效目标。</w:t>
      </w:r>
    </w:p>
    <w:p>
      <w:pPr>
        <w:topLinePunct/>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1.总目标。</w:t>
      </w:r>
    </w:p>
    <w:p>
      <w:pPr>
        <w:topLinePunct/>
        <w:spacing w:line="600" w:lineRule="exact"/>
        <w:ind w:firstLine="800" w:firstLineChars="250"/>
        <w:rPr>
          <w:rFonts w:hint="eastAsia" w:ascii="仿宋_GB2312" w:hAnsi="楷体" w:eastAsia="仿宋_GB2312"/>
          <w:sz w:val="32"/>
          <w:szCs w:val="32"/>
        </w:rPr>
      </w:pPr>
      <w:r>
        <w:rPr>
          <w:rFonts w:hint="eastAsia" w:ascii="仿宋_GB2312" w:hAnsi="楷体" w:eastAsia="仿宋_GB2312"/>
          <w:sz w:val="32"/>
          <w:szCs w:val="32"/>
        </w:rPr>
        <w:t>创办外宣杂志《看昆明》，紧扣昆明正在主动服务和融入国家“一带一路”倡议、长江经济带建设等发展战略，以及昆明着力打造“一个枢纽”，加快建设“四个中心”，全面提升“三大城市品牌”，加快建设区域性国际中心城市的战略目标，立足昆明丰富的历史文化资源、多元的民族文化资源、优美的自然生态资源等独特资源，运用国际化理念、多元化手段、精准化传播，主动邀请南亚东南亚国家在昆留学生、驻昆领事馆官员、企业家等群体，以第一视角和第一感受描写昆明、赞美昆明、推介昆明，向南亚东南亚乃至全世界宣介开放、团结、美丽的昆明，不断提高昆明的影响力和竞争力，为在昆召开的联合国生物多样性公约第十五次缔约方大会等重要会议营造良好舆论氛围。</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2.年度目标。</w:t>
      </w:r>
    </w:p>
    <w:p>
      <w:pPr>
        <w:topLinePunct/>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产出目标：每年出版12期（含中、英），每期120页。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效果目标：</w:t>
      </w:r>
      <w:r>
        <w:rPr>
          <w:rFonts w:hint="eastAsia" w:ascii="仿宋_GB2312" w:hAnsi="仿宋_GB2312" w:eastAsia="仿宋_GB2312" w:cs="仿宋_GB2312"/>
          <w:sz w:val="32"/>
          <w:szCs w:val="32"/>
        </w:rPr>
        <w:t>积极探索与南亚东南亚国家主流媒体在新闻采编、稿件互换、版面互换、信息资源共享、技术共享等方面的交流合作，构筑长期稳定的媒体交流平台和机制，加强国际传播能力建设，更有效地影响和引导外部舆论，着力营造昆明高质量建设区域性国际中心城市的良好外部舆论环境。</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二、绩效评价工作情况</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（一）绩效评价目的</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全面了解本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（二）绩效评价工作方案制定过程</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1.前期调研</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《看昆明》采编团队制定相关评价方案，按照方案进行资料收集与审核，进行现场和非现场评价以及综合评价，从完成期数、出稿类型、报道质量、外部效应等方面进行评价，最终完成报告撰写。</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2.研究文件</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相继研究了人事管理制度、绩效考评制度以及资金管理制度，以及全市重点中心工作的相关文件等。</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3.绩效评价指标体系及工作方案的设计</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制定了选题策划制度、人员管理制度、绩效考评制度以及资金管理制度，绩效考评以版面出刊数量、报道与全市中心工作契合度以及社会影响力等为标准，资金主要用于采编、翻译、印刷、硬件以及发行支出等；</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评价体系重点包括：报道内容是否围绕昆明外宣重点工作；报道数量是否符合审定方案；稿件刊发形成的舆论影响及范围。</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（三）绩效评价原则、评价方法</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1.绩效评价原则</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公平与客观、公开与开放、反馈与修改、定期化与制度化、可靠性与准确性、可行性与适用性。</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2.绩效评价方法</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稿分评定法：依据报社统一评分制度对项目采编人员工作进行考评，判定项目完成质量。</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社会调查法：根据报道引起的社会效应、受众反应、与相关部门互动程度来判定项目是否达到预期效果。涉及调查问卷，让项目相关人员就问卷项目进行评价。</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（四）绩效评价实施过程</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1.数据填报和采集</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统计稿件评分、读者感受评价，按照既定制度进行指标评价。</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2.社会调查</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统计读者反馈、社会评价、相关部门互动情况，注重长期跟踪。</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3.数据分析和撰写报告</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将前期收集资料进行整理，按照相关指标进行评价总结，结合预期目标形成总结报告。</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（五）本次绩效评价的局限性</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由于本项目为新批复项目，项目运行实践经验方面还有所欠缺，项目相关人员配备还显不足，相关制度建设还有待进一步完善与加强。</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三、评价结论和绩效分析</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（一）评价结论</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1.评价结果</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2021年，《看昆明》外宣杂志出版发行各项工作正常开展，整体质量达标，资金使用情况规范，社会反响良好。</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2.主要绩效</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通过宣传报道历史文化名城和人文风情，以及面向南亚东南亚活跃的文化交流、繁荣的文化贸易、紧密的文化合作、频繁的国际交往和对外开放，宣介昆明“汇东方与西方、融传统与现代”的城市气质和历史文脉，增强文化理解认同。</w:t>
      </w:r>
    </w:p>
    <w:p>
      <w:pPr>
        <w:widowControl/>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通过宣传展示昆明的生物多样性和生态美、环境美、山水美、城市美、乡村美，让春城昆明的形象不断树立和闪亮起来，大力提升城市品质形象，持续增强昆明的知名度、美誉度。</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（二）具体绩效分析</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项目决策方面，项目与所属部门长期发展目标和工作性质相匹配，并在前期对项目可行性进行过调研，符合要求。项目绩效目标的制定紧扣杂志定位和操作实际，能完整反映项目预期产出和效果，绩效指标清晰、可衡量。自评分19.5分。</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项目管理方面，预算编制围绕采编活动实际情况，在需要调整预算时严格按照相关规定执行，资金使用合理、规范、节约，资金拨付程序完整，没有出现截留、挤占或挪用项目资金的情况。自评分20分。</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项目绩效方面，采编活动团队提前预热，刊发稿件，跟踪活动同步报道，圆满完成各项目标，社会效益和宣传效益达到预期目标。自评分59分。</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项目总评分98.5分。</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四、成本效益分析</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资金的财政拨款，主要用于采编、翻译、发行、印刷、发行等支出。项目所有资金实行专款专用，资金拨付严格审批程序，使用规范，会计核算结果真实、准确。项目单位建立健全项目实施预算方案、财务管理制度和会计核算制度，此次绩效评价过程中未发现有截留、挤占或挪用项目资金的情况。</w:t>
      </w:r>
    </w:p>
    <w:p>
      <w:pPr>
        <w:topLinePunct/>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五、主要经验及做法、存在的问题和建议</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（一）主要经验及做法</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1.杂志出版要坚持正确舆论导向，壮大主流媒体舆论引导和正面宣传传播力。</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2.树立正确的新闻观，把坚持正确的舆论导向放在新闻宣传的首位，构建强大的外宣舆论引导体系，有思想有观点有内涵，发出权威声音。</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（二）存在的问题</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1.杂志新闻策划还有待加强。</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2.杂志发行覆盖面还有待扩大。</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（三）建议和改进措施</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1.围绕市委市政府中心工作，加强新闻选题策划，推出更多精品力作。</w:t>
      </w:r>
    </w:p>
    <w:p>
      <w:pPr>
        <w:spacing w:line="600" w:lineRule="exact"/>
        <w:ind w:firstLine="720" w:firstLineChars="225"/>
        <w:rPr>
          <w:rFonts w:ascii="方正小标宋_GBK" w:hAnsi="Calibri" w:eastAsia="方正小标宋_GBK"/>
          <w:sz w:val="32"/>
          <w:szCs w:val="32"/>
        </w:rPr>
      </w:pPr>
      <w:r>
        <w:rPr>
          <w:rFonts w:hint="eastAsia" w:ascii="仿宋_GB2312" w:hAnsi="楷体" w:eastAsia="仿宋_GB2312"/>
          <w:sz w:val="32"/>
          <w:szCs w:val="32"/>
        </w:rPr>
        <w:t>2.加强发行工作力度，增大杂志发行覆盖面，进一步增强杂志宣传影响力。</w:t>
      </w:r>
    </w:p>
    <w:p>
      <w:pPr>
        <w:spacing w:line="600" w:lineRule="exact"/>
        <w:rPr>
          <w:rFonts w:ascii="Calibri" w:hAnsi="Calibri"/>
        </w:rPr>
      </w:pPr>
    </w:p>
    <w:p>
      <w:pPr>
        <w:overflowPunct w:val="0"/>
        <w:spacing w:line="600" w:lineRule="exact"/>
        <w:rPr>
          <w:rFonts w:hint="eastAsia" w:ascii="方正小标宋简体" w:hAnsi="方正小标宋简体" w:eastAsia="方正小标宋简体" w:cs="方正小标宋简体"/>
          <w:sz w:val="44"/>
          <w:szCs w:val="44"/>
        </w:rPr>
      </w:pPr>
      <w:r>
        <w:rPr>
          <w:rFonts w:eastAsia="仿宋_GB2312"/>
          <w:sz w:val="32"/>
          <w:szCs w:val="32"/>
        </w:rPr>
        <w:br w:type="page"/>
      </w:r>
      <w:r>
        <w:rPr>
          <w:rFonts w:hint="eastAsia" w:ascii="楷体" w:hAnsi="楷体" w:eastAsia="楷体" w:cs="楷体"/>
          <w:bCs/>
          <w:sz w:val="32"/>
          <w:szCs w:val="32"/>
        </w:rPr>
        <w:t>项目四：</w:t>
      </w:r>
    </w:p>
    <w:p>
      <w:pPr>
        <w:overflowPunct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“牢记嘱托 砥砺奋进”——昆明市经济社会</w:t>
      </w:r>
    </w:p>
    <w:p>
      <w:pPr>
        <w:overflowPunct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发展回顾与展望主题展支出绩效自评报告</w:t>
      </w:r>
    </w:p>
    <w:p>
      <w:pPr>
        <w:tabs>
          <w:tab w:val="left" w:pos="1322"/>
        </w:tabs>
        <w:topLinePunct/>
        <w:spacing w:line="600" w:lineRule="exact"/>
        <w:ind w:firstLine="800" w:firstLineChars="250"/>
        <w:rPr>
          <w:rFonts w:hint="eastAsia" w:ascii="黑体" w:hAnsi="黑体" w:eastAsia="黑体" w:cs="黑体"/>
          <w:sz w:val="32"/>
          <w:szCs w:val="32"/>
        </w:rPr>
      </w:pPr>
    </w:p>
    <w:p>
      <w:pPr>
        <w:tabs>
          <w:tab w:val="left" w:pos="1322"/>
        </w:tabs>
        <w:topLinePunct/>
        <w:spacing w:line="600" w:lineRule="exact"/>
        <w:ind w:firstLine="800" w:firstLineChars="250"/>
        <w:rPr>
          <w:rFonts w:ascii="黑体" w:hAnsi="黑体" w:eastAsia="黑体" w:cs="黑体"/>
          <w:sz w:val="32"/>
          <w:szCs w:val="32"/>
        </w:rPr>
      </w:pPr>
      <w:r>
        <w:rPr>
          <w:rFonts w:hint="eastAsia" w:ascii="黑体" w:hAnsi="黑体" w:eastAsia="黑体" w:cs="黑体"/>
          <w:sz w:val="32"/>
          <w:szCs w:val="32"/>
        </w:rPr>
        <w:t>一、项目基本情况</w:t>
      </w:r>
    </w:p>
    <w:p>
      <w:pPr>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tabs>
          <w:tab w:val="left" w:pos="2940"/>
        </w:tabs>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项背景：中国共产党昆明市第十二次代表大会于2021年9月隆重召开。为充分展示市第十一次党代会以来，昆明市以习近平新时代中国特色社会主义思想为指导，认真学习贯彻习近平总书记考察云南重要讲话精神，贯彻落实省委、省政府决策部署，全市经济社会发展各项工作取得的新成就、新亮点，市委举办“牢记嘱托 砥砺奋进”——昆明市经济社会发展回顾与展望主题展。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的：高举习近平新时代中国特色社会主义伟大旗帜，全面贯彻党的十九大和十九届二中、三中、四中、五中全会精神，深入贯彻落实习近平总书记系列重要讲话、指示批示和考察云南重要讲话精神，聚焦市第十一次党代会以来的重大时间、事件、节点谋篇布局，以区域性国际中心城市建设为主线，内容涵盖经济建设、政治建设、文化建设、社会建设、生态文明建设以及党的建设等各领域，全方位、多角度回顾过去五年全市经济社会发展取得的成就，展望未来改革发展的美好蓝图。通过举办成就展，对内凝聚人心、对外展示形象，动员全市广大党员领导干部和各族人民群众把思想统一到党代会精神上来，把力量凝聚到实现会议提出的各项任务上来，为加快建设中国春城、历史文化名城、国际大健康名城、区域性国际中心城市，奋力开启全面建设社会主义现代化新征程营造良好的舆论氛围，提供有力的思想保证。</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“牢记嘱托 砥砺奋进”——昆明市经济社会发展回顾与展望主题展室内展区按照新时代成就展览布展规律进行创意性表达，突出昆明特点，由“以牢记嘱托奋楫扬帆”“综合实力大幅提升”“改革开放硕果累累”等9个篇章构成，生动展示五年来昆明经济社会发展诸多方面取得的成就，以丰富的图片展示为主，文字高度概括精当简要；满足广大市民多维度参观需求，集合使用VR/AR为主的新媒体、融媒体技术手段，以形、色、声、光、电适度表现展览主题；多媒体重点展示昆明市成功创建全国文明城市、全国民族团结进步示范市、实现全面小康、迎接COP15、央媒点赞昆明等重要内容，展览的感染力和互动性强。在严格遵守常态化疫情防控规定的前提下，室内观展人数达40168人次，全市预约参观单位、企业和社会团体共有369家，集体观展人次9407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室外展陈协调有关部门精选经济社会发展部分重点成果以及文创产品、书画美术摄影作品等，结合2021年创意昆明系列主题活动，配合做好主题展外围展区特色展，调动了广大市民参展、观展的积极性、互动性。在严格遵守常态化疫情防控规定的前提下，室外线下观展人数达35009人次，全市集体观展的单位、企业和社会团体共有390家，集体观展人次10151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题展还开展了基于H5页面研发，推出适合全网传播和手机整体展示、分享，支持所有媒体业态，支持用户打卡、点赞、评论、互动的H5互动平台的全方位、立体式观展的线上展厅。上线第二天就突破2万次点击量，第七天线上展厅浏览量已达13.6万人次，9月30日当天有7万人次线上打卡游览展厅，线上展厅观展人数总计达40余万人次；线上活动中，“一起点亮昆明”互动活动最受欢迎，有7453人参与点亮昆明，此外有7143人参与了“我对昆明说”活动，增强展览传播力、影响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题展组织以部门、单位、团体等集体参观展览，采取提前预约方式，每批次50人以内，市博物馆安排讲解；群众自发、个人及家庭参观展览，由现场工作人员有序安排展览；每周二至周日开放，每天组织13批次集中观展；采取电话和线上预约的方式。线下观展高峰每日平均观展人数约1000人次，其余时间段每日观展人数约600人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聚焦成就展，组织并统筹安排市级新闻媒体《昆明日报》《昆明信息港》《掌上春城》《昆明电视台》《昆报头条》《昆滇经济》《都市时报》《一点关注》等媒体采取多种形式对主题展相关情况进行综合报道，</w:t>
      </w:r>
      <w:r>
        <w:rPr>
          <w:rFonts w:hint="eastAsia" w:ascii="仿宋_GB2312" w:hAnsi="仿宋_GB2312" w:eastAsia="仿宋_GB2312" w:cs="仿宋_GB2312"/>
          <w:sz w:val="32"/>
          <w:szCs w:val="32"/>
          <w:shd w:val="clear" w:color="auto" w:fill="FFFFFF"/>
        </w:rPr>
        <w:t>营造内外宣传工作的良好舆论氛围，教育引导广大市民群众不忘初心、牢记使命、艰苦奋斗，朝着奋力开启与去腥国际中心城市建设新征程的目标迈进，</w:t>
      </w:r>
      <w:r>
        <w:rPr>
          <w:rFonts w:hint="eastAsia" w:ascii="仿宋_GB2312" w:hAnsi="仿宋_GB2312" w:eastAsia="仿宋_GB2312" w:cs="仿宋_GB2312"/>
          <w:sz w:val="32"/>
          <w:szCs w:val="32"/>
        </w:rPr>
        <w:t>得到了市委宣传部的肯定。</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题展受到全市各级各部门和市民的高度关注，人气持续走高。作为面向基层、面向群众开展形式政策教育的重要载体，为全市干部群众深入了解五年来昆明市经济社会发展各项工作取得的新成就、新亮点发挥了很好的宣传推介作用，办成了“老百姓喜欢的展览”</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3.资金来源及使用情况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该项目资金来源为市级财政拨款，根据《昆明市财政局关于批复2021的部门预算的通知》，预算资金761万元，已于2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月11日批复到位，已全部按照计划支出到项目的各项工作中。</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4.组织及管理情况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组织情况：项目由中共昆明市委主办，中共昆明市委宣传部、昆明市文化和旅游局承办，昆明报业传媒集团执行，各县（市）区党委、各开发（度假）区党工委、云南滇中新区党群工作部、昆明市博物馆协办。昆明市经济社会发展回顾与展望主题展成立工作领导小组，负责统筹安排主题展相关工作。领导小组下设综合协调组、大纲编撰组、布展设计组、室外展厅实物展示互动组、宣传报道组、场地保障组、疫情防控组7个工作组。</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 综合协调组：负责做好主题展涉及相关单位的联络沟通协调工作；负责展览工作的统筹协调和省、市领导参加展览活动相关工作的联络沟通；负责协调做好展览所需经费申请拨付相关事宜；负责做好讲解员、志愿者的协调安排工作；跟踪督促领导小组决定事项落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 大纲编撰组：负责展览大纲编撰工作；负责组建专家团队，对展览大纲以及展览图册内容、文字、图片、视频等进行论证、审核把关；负责对展陈内容进行指导；负责协调各县（市）区、各开发（度假）区以及各部委办局提供展陈所需相关资料。</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 布展设计组：负责制定主题展布展方案和设计方案，并认真组织实施；负责展览内容资料、实物展示资料收集、征集和整理工作；负责与合作公司就展陈设计方案及内容进行沟通对接；负责协调设计施工方做好展厅设计和施工任务，及时跟进布展情况；负责主题展项目招投标、各项支出登记和相关财务工作；配合会计、审计、造价等第三方机构相关工作；负责做好实物资产的管理、资产移交工作；配合做好展馆展品安全。</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 室外展厅实物展示互动组：负责协调有关部门精选经济社会发展部分重点成果以及文创产品、书画美术摄影作品等，结合 2021 年创意昆明系列主题活动，配合做好主题展外围展区特色展布展工作，调动广大市民参展、观展的积极性、互动性。</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⑸ 宣传报道组：统筹安排市属新闻媒体采取多种形式对主题展相关情况进行综合报道，刊发系列评论，跟踪社会反响报道，组织网络宣传、社会宣传等；协调中央和省级驻昆新闻媒体对主题展进行宣传报道。</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⑹ 场地保障组：负责制定场地保障工作方案并组织实施，做好场馆水电、保洁、通信网络等相关服务保障；做好主题展期间秩序引导、车辆停放疏导及安全保障等相关工作。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⑺疫情防控组：根据疫情防控相关要求，负责对主题展布展期间疫情防控工作进行指导督促。</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5.项目实施流程：</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 2021年7月23日至29日：拟定展览总体构架；现场踏勘市博物馆场地；提出初步布展设计方案并按程序报审。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 2021年7月30日至8月4日：启动项目招投标程序；召开协调会，协调各县（市）区、各开发（度假）区、云南滇中新区党群工作部以及各部委办局提供相关图片、数据、文字等展陈资料。</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 2021年8月5日至8月8日：排版设计制作完成展览小样并报审。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 2021年8月10日：根据审核意见修改形成最终定稿方案并报审；同步进场开展布展前期工作（1号展厅现有展览8月9日拆除，8月10日可进场施工）。</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⑸ 2021年8月12日至8月22日：完成现场展览硬件安装工作。</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⑹ 2021年8月23日至30日：完成展览声光电设备安装调试，完成全部展陈工作。</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⑺ 2021年9月1日：具备开展条件。</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资金拨付流程：“牢记嘱托 砥砺奋进”——昆明市经济社会发展回顾与展望主题展的资金为财政资金，由市财政零余额账户拨付。</w:t>
      </w:r>
    </w:p>
    <w:p>
      <w:pPr>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（二）绩效目标</w:t>
      </w:r>
    </w:p>
    <w:p>
      <w:pPr>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1.总目标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通过开展“牢记嘱托 砥砺奋进”——昆明市经济社会发展回顾与展望主题展，持续深入贯彻落实习近平总书记系列重要讲话、指示批示和考察云南重要讲话精神，聚焦市第十一次党代会以来的重大时间、事件、节点谋篇布局，以区域性国际中心城市建设为主线，内容涵盖经济建设、政治建设、文化建设、社会建设、生态文明建设以及党的建设等各领域，全方位、多角度回顾过去五年全市经济社会发展取得的成就，展望未来改革发展的美好蓝图。通过举办成就展，对内凝聚人心、对外展示形象，动员全市广大党员领导干部和各族人民群众把思想统一到党代会精神上来，把力量凝聚到实现会议提出的各项任务上来，为加快建设中国春城、历史文化名城、国际大健康名城、区域性国际中心城市，奋力开启全面建设社会主义现代化新征程营造良好的舆论氛围，提供有力的思想保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2.年度目标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出目标：统一全市广大党员领导干部和各族人民群众思想；凝聚第十一届党代会提出的各项任务；营造全面建设社主义现代化新征程的良好舆论；通过文图声光电实物的全媒体展示，办成“老百姓喜欢的展览”。</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效果目标：全市广大党员领导干部和各族人民群众的奋斗尽头更足；展览持续展出4个月，全市广大干部群众满意度高。         </w:t>
      </w:r>
    </w:p>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（一）绩效评价目的</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昆明市经济社会发展与展望主题展主题展政治性强、时间紧、任务重、标准高，各级有关部门深化认识、高度重视，切实提高政治站位，把主题展作为一项重要任务，摆在突出位置，列入重要议事日程，进一步细化工作方案，明确职责分工，强化安全意识，高标准高质量完成各项任务；聚焦昆明市第十一次党代会以来的重大时间、事件、节点谋篇布局，以区域性国际中心城市建设为主线，内容涵盖经济建议政治建设、文化建设、社会建设、生态文明建设以政党的建设等各领域，全方位、多角度回顾过去五年全市经济社会发展取得的成就，展望未来改革发展的美好蓝图；全市广大党员领导干部和各族人民群众统一思想，为加快建设中国春城、历史文化名城、国际大健康名城、区域性国际中心城市，奋力开启全面建设社会主义现代化新征程营造良好的典论氛围，提供有力的思想保证，把此次展览办成了“老百姓喜欢的展览”。项目预算编制合理，成本支出真实，控制有效，对财政资金的使用效率高，效果明显。</w:t>
      </w:r>
    </w:p>
    <w:p>
      <w:pPr>
        <w:tabs>
          <w:tab w:val="left" w:pos="343"/>
        </w:tabs>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（二）绩效评价工作方案制定过程</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1.前期调研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期，项目工作组多次集中研究、讨论主题展的展览形式及展览内容，与市委宣传部（市政府新闻办）、市委统战部、市委政法委、市委政研室、市委网信办、市大健康办、市发展改革委、市工业和信息化局、市教育体育局、市民族宗教委、市公安局、市民政局、市司法局、市财政局、市人力资源社会保障局、市生态环境局、市住房城乡建设局、市交通运输局、市农业农村局、市商务局、市文化和旅游局、市卫生健康委、市外办、市国资委、市市场监管局、市乡村振兴局、市医保局、团市委、市关工委、市妇联、市文联、市博物馆、各县（市）区、各开发（度假)区，云南滇中新区党群工作部及各部委办局组织相关资料，经多次易稿，制定主题展布展方案和设计方案。与此同时，前往宝丰湿地、昆明动物博物馆、中科院昆明植物研究所、昆明轨道集团、云南贵金属新材料控股集团、铁建装备、昆明钢铁控股有限公司、藤泽友谊馆以及各县（市）区、各开发（度假)区，云南滇中新区等企业学习调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2.研究文件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中共昆明市委宣传部《“牢记嘱托 砥砺奋进”——昆明市经济社会发展回顾与展望主题展工作方案》。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3.绩效评价指标体系及工作方案的设计</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指标体系包含数量指标、效益指标、满意度指标3个一级指标。其中，数量指标下设数量指标、质量指标、时效指标、成本指标4个二级指标；时效指标下设社会效益指标、可持续影响指标2个二级指标；满意度下设服务对象满意度指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工作方案设计了总体要求、展览主题、组织架构、时间地点、组织领导、展陈形式、工作计划、工作要求8个部分。</w:t>
      </w:r>
    </w:p>
    <w:p>
      <w:p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（三）绩效评价原则、评价方法</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1.绩效评价原则</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一是科学规范原则；该项目绩效评价严格遵循既定程序，科学可行；</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二是公开公正原则；该项目绩效评价公开公正；</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三是分级分类原则；该项目根据评价对象特点进行了分类组织实施；</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四是绩效相关原则。该项目公开公平公正，媒体进行了公开报道，组织全市广大党员领导干部和各族人民群众参观学习。   </w:t>
      </w:r>
    </w:p>
    <w:p>
      <w:pPr>
        <w:tabs>
          <w:tab w:val="left" w:pos="612"/>
        </w:tabs>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2.评价办法</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定量指标与定性指标相结合</w:t>
      </w:r>
    </w:p>
    <w:p>
      <w:p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（四）绩效评价实施过程</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1.数据填报和采集</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该项目数据填报和采集均专人负责，建立台账并附有佐证资料。</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2.社会调查</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该项目在绩效评价实施过程中进行了充分的社会调查。</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3.数据分析和撰写报告</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进行了科学合理的数据分析，撰写了报告：项目的实时，以区域性国际中心城市建设为主线，内容涵盖经济建议政治建设、文化建设、社会建设、生态文明建设以政党的建设等各领域，全方位、多角度回顾过去五年全市经济社会发展取得的成就，展望未来改革发展的美好蓝图；全市广大党员领导干部和各族人民群众统一思想，为加快建设中国春城、历史文化名城、国际大健康名城、区域性国际中心城市，奋力开启全面建设社会主义现代化新征程营造良好的典论氛围，提供有力的思想保证，把此次展览办成了“老百姓喜欢的展览”。项目预算编制合理，成本支出真实，控制有效，对财政资金的使用效率高，效果明显。</w:t>
      </w:r>
    </w:p>
    <w:p>
      <w:pPr>
        <w:numPr>
          <w:ilvl w:val="0"/>
          <w:numId w:val="1"/>
        </w:num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本次绩效评价的局限性</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本次绩效评价定量指标与定性指标相结合，其中，因疫情，数量指标可能有一定局限性。</w:t>
      </w:r>
    </w:p>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三、评价结论和绩效分析</w:t>
      </w:r>
    </w:p>
    <w:p>
      <w:p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1.评价结果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1.1展陈效果好：</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下展览：室内展区按照新时代成就展览布展规律进行创意性表达，突出昆明特点，由“以牢记嘱托奋楫扬帆”“综合实力大幅提升”“改革开放硕果累累”等9个篇章构成，生动展示五年来昆明经济社会发展诸多方面取得的成就，以丰富的图片展示为主，文字高度概括精当简要；满足广大市民多维度参观需求，集合使用VR/AR为主的新媒体、融媒体技术手段，以形、色、声、光、电适度表现展览主题；多媒体重点展示昆明市成功创建全国文明城市、全国民族团结进步示范市、实现全面小康、迎接COP15、央媒点赞昆明等重要内容，展览的感染力和互动性强；室外展陈协调有关部门精选经济社会发展部分重点成果以及文创产品、书画美术摄影作品等，结合2021年创意昆明系列主题活动，配合做好主题展外围展区特色展，调动了广大市民参展、观展的积极性、互动性；在严格遵守常态化疫情防控规定的前提下，线下观展人数达35009人次，全市集体观展的单位、企业和社会团体共有390家，集体观展人次10151人。</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线上展览：基于H5页面研发，推出适合全网传播和手机整体展示、分享，支持所有媒体业态，支持用户打卡、点赞、评论、互动的H5互动平台，全方位、立体式观展的线上展厅上线第二天就突破2万次点击量，第七天线上展厅浏览量已达13.6万人次，9月30日当天有7万人次线上打卡游览展厅，线上展厅观展人数总计达40余万人次；线上活动中，“一起点亮昆明”互动活动最受欢迎，有7453人参与点亮昆明，此外有7143人参与了“我对昆明说”活动，增强展览传播力、影响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宣传效果好：聚焦成就展，统筹安排市级新闻媒体《昆明日报》《昆明信息港》《掌上春城》《昆明电视台》《昆报头条》《昆滇经济》《都市时报》《一点关注》等采取多种形式对主题展相关情况进行综合报道，</w:t>
      </w:r>
      <w:r>
        <w:rPr>
          <w:rFonts w:hint="eastAsia" w:ascii="仿宋_GB2312" w:hAnsi="仿宋_GB2312" w:eastAsia="仿宋_GB2312" w:cs="仿宋_GB2312"/>
          <w:sz w:val="32"/>
          <w:szCs w:val="32"/>
          <w:shd w:val="clear" w:color="auto" w:fill="FFFFFF"/>
        </w:rPr>
        <w:t>营造内外宣传工作的良好舆论氛围，教育引导广大市民群众不忘初心、牢记使命、艰苦奋斗，朝着奋力开启与去腥国际中心城市建设新征程的目标迈进，</w:t>
      </w:r>
      <w:r>
        <w:rPr>
          <w:rFonts w:hint="eastAsia" w:ascii="仿宋_GB2312" w:hAnsi="仿宋_GB2312" w:eastAsia="仿宋_GB2312" w:cs="仿宋_GB2312"/>
          <w:sz w:val="32"/>
          <w:szCs w:val="32"/>
        </w:rPr>
        <w:t>得到了市委宣传部的肯定。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组织效果好：以部门、单位、团体组织集体参观展览，采取提前预约方式，每批次50人以内，市博物馆安排讲解；群众自发、个人及家庭参观展览，由现场工作人员有序安排展览；每周二至周日开放，每天组织13批次集中观展；采取电话和线上预约的方式。线下观展高峰每日平均观展人数约1000人次，其余时间段每日观展人数约600人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社会反响好：主题展受到全市各级各部门和市民的高度关注，人气持续走高。作为面向基层、面向群众开展形式政策教育的重要载体，为全市干部群众深入了解五年来昆明市经济社会发展各项工作取得的新成就、新亮点发挥了很好的宣传推介作用，办成了“老百姓喜欢的展览”，达到了预期效果。</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2.主要绩效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展览聚焦市第十一次党代会以来的重大时间、事件、节点谋篇布局，以区域性国际中心城市建设为主线，内容涵盖经济建设、政治建设、文化建设、社会建设、生态文明建设以及党的建设等各领域，全方位、多角度回顾过去五年全市经济社会发展取得的成就，展望未来改革发展的美好蓝图。通过举办成就展，对内凝聚人心、对外展示形象，动员全市广大党员领导干部和各族人民群众把思想统一到党代会精神上来，把力量凝聚到实现会议提出的各项任务上来，为加快建设中国春城、历史文化名城、国际大健康名城、区域性国际中心城市，奋力开启全面建设社会主义现代化新征程营造良好的舆论氛围，提供有力的思想保证。</w:t>
      </w:r>
    </w:p>
    <w:p>
      <w:pPr>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（二）具体绩效分析。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283"/>
        <w:gridCol w:w="3367"/>
        <w:gridCol w:w="1933"/>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一级指标</w:t>
            </w:r>
          </w:p>
        </w:tc>
        <w:tc>
          <w:tcPr>
            <w:tcW w:w="128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二级指标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三级指标</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指标值</w:t>
            </w:r>
          </w:p>
        </w:tc>
        <w:tc>
          <w:tcPr>
            <w:tcW w:w="75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noWrap w:val="0"/>
            <w:vAlign w:val="center"/>
          </w:tcPr>
          <w:p>
            <w:pPr>
              <w:spacing w:line="600" w:lineRule="exact"/>
              <w:rPr>
                <w:rFonts w:ascii="仿宋" w:hAnsi="仿宋" w:eastAsia="仿宋" w:cs="仿宋"/>
                <w:sz w:val="24"/>
                <w:szCs w:val="24"/>
              </w:rPr>
            </w:pPr>
          </w:p>
          <w:p>
            <w:pPr>
              <w:spacing w:line="600" w:lineRule="exact"/>
              <w:rPr>
                <w:rFonts w:ascii="仿宋" w:hAnsi="仿宋" w:eastAsia="仿宋" w:cs="仿宋"/>
                <w:sz w:val="24"/>
                <w:szCs w:val="24"/>
              </w:rPr>
            </w:pPr>
          </w:p>
          <w:p>
            <w:pPr>
              <w:spacing w:line="600" w:lineRule="exact"/>
              <w:rPr>
                <w:rFonts w:ascii="仿宋" w:hAnsi="仿宋" w:eastAsia="仿宋" w:cs="仿宋"/>
                <w:sz w:val="24"/>
                <w:szCs w:val="24"/>
              </w:rPr>
            </w:pPr>
            <w:r>
              <w:rPr>
                <w:rFonts w:hint="eastAsia" w:ascii="仿宋" w:hAnsi="仿宋" w:eastAsia="仿宋" w:cs="仿宋"/>
                <w:sz w:val="24"/>
                <w:szCs w:val="24"/>
              </w:rPr>
              <w:t>数量指标</w:t>
            </w:r>
          </w:p>
          <w:p>
            <w:pPr>
              <w:topLinePunct/>
              <w:spacing w:line="600" w:lineRule="exact"/>
              <w:rPr>
                <w:rFonts w:ascii="仿宋" w:hAnsi="仿宋" w:eastAsia="仿宋" w:cs="仿宋"/>
                <w:sz w:val="24"/>
                <w:szCs w:val="24"/>
              </w:rPr>
            </w:pPr>
          </w:p>
          <w:p>
            <w:pPr>
              <w:spacing w:line="600" w:lineRule="exact"/>
              <w:rPr>
                <w:rFonts w:ascii="仿宋" w:hAnsi="仿宋" w:eastAsia="仿宋" w:cs="仿宋"/>
                <w:sz w:val="24"/>
                <w:szCs w:val="24"/>
              </w:rPr>
            </w:pPr>
          </w:p>
          <w:p>
            <w:pPr>
              <w:topLinePunct/>
              <w:spacing w:line="600" w:lineRule="exact"/>
            </w:pPr>
          </w:p>
          <w:p>
            <w:pPr>
              <w:pStyle w:val="8"/>
              <w:spacing w:line="600" w:lineRule="exact"/>
              <w:rPr>
                <w:rFonts w:ascii="仿宋" w:hAnsi="仿宋" w:eastAsia="仿宋" w:cs="仿宋"/>
                <w:sz w:val="24"/>
                <w:szCs w:val="24"/>
              </w:rPr>
            </w:pPr>
          </w:p>
          <w:p>
            <w:pPr>
              <w:pStyle w:val="8"/>
              <w:spacing w:line="600" w:lineRule="exact"/>
              <w:rPr>
                <w:rFonts w:ascii="仿宋" w:hAnsi="仿宋" w:eastAsia="仿宋" w:cs="仿宋"/>
                <w:sz w:val="24"/>
                <w:szCs w:val="24"/>
              </w:rPr>
            </w:pPr>
          </w:p>
        </w:tc>
        <w:tc>
          <w:tcPr>
            <w:tcW w:w="128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数量指标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参观人数</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≧100万</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topLinePunct/>
              <w:spacing w:line="600" w:lineRule="exact"/>
              <w:rPr>
                <w:rFonts w:ascii="仿宋" w:hAnsi="仿宋" w:eastAsia="仿宋" w:cs="仿宋"/>
                <w:sz w:val="24"/>
                <w:szCs w:val="24"/>
              </w:rPr>
            </w:pPr>
          </w:p>
        </w:tc>
        <w:tc>
          <w:tcPr>
            <w:tcW w:w="128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质量指标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文图声光电实物的全媒体展示</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文图声光电实物</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spacing w:line="600" w:lineRule="exact"/>
              <w:ind w:firstLine="468"/>
              <w:rPr>
                <w:rFonts w:ascii="仿宋" w:hAnsi="仿宋" w:eastAsia="仿宋" w:cs="仿宋"/>
                <w:sz w:val="24"/>
                <w:szCs w:val="24"/>
              </w:rPr>
            </w:pPr>
          </w:p>
        </w:tc>
        <w:tc>
          <w:tcPr>
            <w:tcW w:w="1283" w:type="dxa"/>
            <w:vMerge w:val="restart"/>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时效指标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展览设计制作</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≧2月</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vMerge w:val="continue"/>
            <w:noWrap w:val="0"/>
            <w:vAlign w:val="center"/>
          </w:tcPr>
          <w:p>
            <w:pPr>
              <w:spacing w:line="600" w:lineRule="exact"/>
              <w:ind w:firstLine="468"/>
              <w:rPr>
                <w:rFonts w:ascii="仿宋" w:hAnsi="仿宋" w:eastAsia="仿宋" w:cs="仿宋"/>
                <w:sz w:val="24"/>
                <w:szCs w:val="24"/>
              </w:rPr>
            </w:pPr>
          </w:p>
        </w:tc>
        <w:tc>
          <w:tcPr>
            <w:tcW w:w="1283" w:type="dxa"/>
            <w:vMerge w:val="continue"/>
            <w:noWrap w:val="0"/>
            <w:vAlign w:val="center"/>
          </w:tcPr>
          <w:p>
            <w:pPr>
              <w:spacing w:line="600" w:lineRule="exact"/>
              <w:rPr>
                <w:rFonts w:ascii="仿宋" w:hAnsi="仿宋" w:eastAsia="仿宋" w:cs="仿宋"/>
                <w:sz w:val="24"/>
                <w:szCs w:val="24"/>
              </w:rPr>
            </w:pPr>
          </w:p>
        </w:tc>
        <w:tc>
          <w:tcPr>
            <w:tcW w:w="3367" w:type="dxa"/>
            <w:vMerge w:val="restart"/>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展览展出</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≧2月</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pStyle w:val="8"/>
              <w:spacing w:line="600" w:lineRule="exact"/>
              <w:rPr>
                <w:rFonts w:ascii="仿宋" w:hAnsi="仿宋" w:eastAsia="仿宋" w:cs="仿宋"/>
                <w:sz w:val="24"/>
                <w:szCs w:val="24"/>
              </w:rPr>
            </w:pPr>
          </w:p>
        </w:tc>
        <w:tc>
          <w:tcPr>
            <w:tcW w:w="1283" w:type="dxa"/>
            <w:vMerge w:val="restart"/>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成本指标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全案创意设计及展览内容制作</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60万元</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spacing w:line="600" w:lineRule="exact"/>
              <w:rPr>
                <w:rFonts w:ascii="仿宋" w:hAnsi="仿宋" w:eastAsia="仿宋" w:cs="仿宋"/>
                <w:sz w:val="24"/>
                <w:szCs w:val="24"/>
              </w:rPr>
            </w:pPr>
          </w:p>
        </w:tc>
        <w:tc>
          <w:tcPr>
            <w:tcW w:w="1283" w:type="dxa"/>
            <w:vMerge w:val="continue"/>
            <w:noWrap w:val="0"/>
            <w:vAlign w:val="center"/>
          </w:tcPr>
          <w:p>
            <w:pPr>
              <w:spacing w:line="600" w:lineRule="exact"/>
              <w:rPr>
                <w:rFonts w:ascii="仿宋" w:hAnsi="仿宋" w:eastAsia="仿宋" w:cs="仿宋"/>
                <w:sz w:val="24"/>
                <w:szCs w:val="24"/>
              </w:rPr>
            </w:pP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室内主展区布展</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247万元</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topLinePunct/>
              <w:spacing w:line="600" w:lineRule="exact"/>
              <w:rPr>
                <w:rFonts w:ascii="仿宋" w:hAnsi="仿宋" w:eastAsia="仿宋" w:cs="仿宋"/>
                <w:sz w:val="24"/>
                <w:szCs w:val="24"/>
              </w:rPr>
            </w:pPr>
          </w:p>
        </w:tc>
        <w:tc>
          <w:tcPr>
            <w:tcW w:w="1283" w:type="dxa"/>
            <w:vMerge w:val="continue"/>
            <w:noWrap w:val="0"/>
            <w:vAlign w:val="center"/>
          </w:tcPr>
          <w:p>
            <w:pPr>
              <w:topLinePunct/>
              <w:spacing w:line="600" w:lineRule="exact"/>
              <w:rPr>
                <w:rFonts w:ascii="仿宋" w:hAnsi="仿宋" w:eastAsia="仿宋" w:cs="仿宋"/>
                <w:sz w:val="24"/>
                <w:szCs w:val="24"/>
              </w:rPr>
            </w:pP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室内主展区多媒体集成一体化服务</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272万元</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pStyle w:val="8"/>
              <w:spacing w:line="600" w:lineRule="exact"/>
              <w:rPr>
                <w:rFonts w:ascii="仿宋" w:hAnsi="仿宋" w:eastAsia="仿宋" w:cs="仿宋"/>
                <w:sz w:val="24"/>
                <w:szCs w:val="24"/>
              </w:rPr>
            </w:pPr>
          </w:p>
        </w:tc>
        <w:tc>
          <w:tcPr>
            <w:tcW w:w="1283" w:type="dxa"/>
            <w:vMerge w:val="continue"/>
            <w:noWrap w:val="0"/>
            <w:vAlign w:val="center"/>
          </w:tcPr>
          <w:p>
            <w:pPr>
              <w:topLinePunct/>
              <w:spacing w:line="600" w:lineRule="exact"/>
              <w:rPr>
                <w:rFonts w:ascii="仿宋" w:hAnsi="仿宋" w:eastAsia="仿宋" w:cs="仿宋"/>
                <w:sz w:val="24"/>
                <w:szCs w:val="24"/>
              </w:rPr>
            </w:pP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室外互动展区布展</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152万元</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pStyle w:val="8"/>
              <w:spacing w:line="600" w:lineRule="exact"/>
              <w:rPr>
                <w:rFonts w:ascii="仿宋" w:hAnsi="仿宋" w:eastAsia="仿宋" w:cs="仿宋"/>
                <w:sz w:val="24"/>
                <w:szCs w:val="24"/>
              </w:rPr>
            </w:pPr>
          </w:p>
        </w:tc>
        <w:tc>
          <w:tcPr>
            <w:tcW w:w="1283" w:type="dxa"/>
            <w:vMerge w:val="continue"/>
            <w:noWrap w:val="0"/>
            <w:vAlign w:val="center"/>
          </w:tcPr>
          <w:p>
            <w:pPr>
              <w:topLinePunct/>
              <w:spacing w:line="600" w:lineRule="exact"/>
              <w:rPr>
                <w:rFonts w:ascii="仿宋" w:hAnsi="仿宋" w:eastAsia="仿宋" w:cs="仿宋"/>
                <w:sz w:val="24"/>
                <w:szCs w:val="24"/>
              </w:rPr>
            </w:pP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网上展厅设计制作</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15万元</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pStyle w:val="8"/>
              <w:spacing w:line="600" w:lineRule="exact"/>
              <w:rPr>
                <w:rFonts w:ascii="仿宋" w:hAnsi="仿宋" w:eastAsia="仿宋" w:cs="仿宋"/>
                <w:sz w:val="24"/>
                <w:szCs w:val="24"/>
              </w:rPr>
            </w:pPr>
          </w:p>
        </w:tc>
        <w:tc>
          <w:tcPr>
            <w:tcW w:w="1283" w:type="dxa"/>
            <w:vMerge w:val="continue"/>
            <w:noWrap w:val="0"/>
            <w:vAlign w:val="center"/>
          </w:tcPr>
          <w:p>
            <w:pPr>
              <w:topLinePunct/>
              <w:spacing w:line="600" w:lineRule="exact"/>
              <w:rPr>
                <w:rFonts w:ascii="仿宋" w:hAnsi="仿宋" w:eastAsia="仿宋" w:cs="仿宋"/>
                <w:sz w:val="24"/>
                <w:szCs w:val="24"/>
              </w:rPr>
            </w:pP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市博物馆场地安保、保洁、疫情防控等各类费用</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15万元</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noWrap w:val="0"/>
            <w:vAlign w:val="center"/>
          </w:tcPr>
          <w:p>
            <w:pPr>
              <w:pStyle w:val="8"/>
              <w:spacing w:line="600" w:lineRule="exact"/>
              <w:rPr>
                <w:rFonts w:ascii="仿宋" w:hAnsi="仿宋" w:eastAsia="仿宋" w:cs="仿宋"/>
                <w:sz w:val="24"/>
                <w:szCs w:val="24"/>
              </w:rPr>
            </w:pPr>
            <w:r>
              <w:rPr>
                <w:rFonts w:hint="eastAsia" w:ascii="仿宋" w:hAnsi="仿宋" w:eastAsia="仿宋" w:cs="仿宋"/>
                <w:sz w:val="24"/>
                <w:szCs w:val="24"/>
              </w:rPr>
              <w:t>效益指标</w:t>
            </w:r>
          </w:p>
        </w:tc>
        <w:tc>
          <w:tcPr>
            <w:tcW w:w="128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社会效益指标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全市广大党员领导干部和各族人民群众的奋斗尽头更足</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预期效果</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pStyle w:val="8"/>
              <w:spacing w:line="600" w:lineRule="exact"/>
              <w:rPr>
                <w:rFonts w:ascii="仿宋" w:hAnsi="仿宋" w:eastAsia="仿宋" w:cs="仿宋"/>
                <w:sz w:val="24"/>
                <w:szCs w:val="24"/>
              </w:rPr>
            </w:pPr>
          </w:p>
        </w:tc>
        <w:tc>
          <w:tcPr>
            <w:tcW w:w="128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可持续影响指标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展览持续展出2个月以上</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≧2月</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满意度指标</w:t>
            </w:r>
          </w:p>
        </w:tc>
        <w:tc>
          <w:tcPr>
            <w:tcW w:w="128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服务对象</w:t>
            </w:r>
          </w:p>
          <w:p>
            <w:pPr>
              <w:spacing w:line="600" w:lineRule="exact"/>
              <w:rPr>
                <w:rFonts w:ascii="仿宋" w:hAnsi="仿宋" w:eastAsia="仿宋" w:cs="仿宋"/>
                <w:sz w:val="24"/>
                <w:szCs w:val="24"/>
              </w:rPr>
            </w:pPr>
            <w:r>
              <w:rPr>
                <w:rFonts w:hint="eastAsia" w:ascii="仿宋" w:hAnsi="仿宋" w:eastAsia="仿宋" w:cs="仿宋"/>
                <w:sz w:val="24"/>
                <w:szCs w:val="24"/>
              </w:rPr>
              <w:t>满意度指标</w:t>
            </w:r>
          </w:p>
        </w:tc>
        <w:tc>
          <w:tcPr>
            <w:tcW w:w="3367"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全市广大干部群众满意度</w:t>
            </w: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100%</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topLinePunct/>
              <w:spacing w:line="600" w:lineRule="exact"/>
              <w:rPr>
                <w:rFonts w:ascii="仿宋" w:hAnsi="仿宋" w:eastAsia="仿宋" w:cs="仿宋"/>
                <w:sz w:val="24"/>
                <w:szCs w:val="24"/>
              </w:rPr>
            </w:pPr>
          </w:p>
        </w:tc>
        <w:tc>
          <w:tcPr>
            <w:tcW w:w="1283" w:type="dxa"/>
            <w:noWrap w:val="0"/>
            <w:vAlign w:val="center"/>
          </w:tcPr>
          <w:p>
            <w:pPr>
              <w:spacing w:line="600" w:lineRule="exact"/>
              <w:rPr>
                <w:rFonts w:ascii="仿宋" w:hAnsi="仿宋" w:eastAsia="仿宋" w:cs="仿宋"/>
                <w:sz w:val="24"/>
                <w:szCs w:val="24"/>
              </w:rPr>
            </w:pPr>
          </w:p>
        </w:tc>
        <w:tc>
          <w:tcPr>
            <w:tcW w:w="3367" w:type="dxa"/>
            <w:noWrap w:val="0"/>
            <w:vAlign w:val="center"/>
          </w:tcPr>
          <w:p>
            <w:pPr>
              <w:spacing w:line="600" w:lineRule="exact"/>
              <w:rPr>
                <w:rFonts w:ascii="仿宋" w:hAnsi="仿宋" w:eastAsia="仿宋" w:cs="仿宋"/>
                <w:sz w:val="24"/>
                <w:szCs w:val="24"/>
              </w:rPr>
            </w:pPr>
          </w:p>
        </w:tc>
        <w:tc>
          <w:tcPr>
            <w:tcW w:w="193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合计：</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99</w:t>
            </w:r>
          </w:p>
        </w:tc>
      </w:tr>
    </w:tbl>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四、成本效益分析</w:t>
      </w:r>
    </w:p>
    <w:p>
      <w:pPr>
        <w:topLinePunct/>
        <w:spacing w:line="600" w:lineRule="exact"/>
        <w:ind w:firstLine="668" w:firstLineChars="209"/>
        <w:rPr>
          <w:rFonts w:ascii="仿宋_GB2312" w:hAnsi="仿宋_GB2312" w:eastAsia="仿宋_GB2312" w:cs="仿宋_GB2312"/>
          <w:sz w:val="32"/>
          <w:szCs w:val="32"/>
        </w:rPr>
      </w:pPr>
      <w:r>
        <w:rPr>
          <w:rFonts w:hint="eastAsia" w:ascii="仿宋_GB2312" w:hAnsi="仿宋_GB2312" w:eastAsia="仿宋_GB2312" w:cs="仿宋_GB2312"/>
          <w:sz w:val="32"/>
          <w:szCs w:val="32"/>
        </w:rPr>
        <w:t>资金使用方向正确，收支结构合理；项目资金管理规范；资金节约性、资金使用效果明显。</w:t>
      </w:r>
    </w:p>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五、主要经验及做法、存在的问题和建议</w:t>
      </w:r>
    </w:p>
    <w:p>
      <w:pPr>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（一）主要经验及做法</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1.加强组织领导、提高政治站位。</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政治性强，时间紧、任务重、标准高，组织方深化认识、高度重视，切实提高政治站位，把主题展作为一项重要任务，摆在突出位置，列入重要议事日程，进一步细化工作方案，明确职责分工，强化安全意识，高标准高质量完成好各项任务。</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2.强化统筹协调，精心组织实施。</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坚持一切从大局出发，各专项工作组要认真研究制定专项工作实施方案和应急预案，加强协调配合，形成强大合力。认真研究展览内容，对标先进、严格把关，确保展出特色、展出亮点、展出水平。</w:t>
      </w:r>
    </w:p>
    <w:p>
      <w:pPr>
        <w:numPr>
          <w:ilvl w:val="0"/>
          <w:numId w:val="2"/>
        </w:numPr>
        <w:overflowPunct w:val="0"/>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注重群众参与，营造浓厚氛围。</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结合实际，加大宣传力度，认真组织、动员广大党员干部、市民群众积极参与，切实将主题展作为面向基层、面向群众开展形势政策教育的重要载体，把此次展览办成“老百姓喜欢的展览”。</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应加强展览内容的价值挖掘；不断丰富展览形式，提高市民参与性；不断升级展览的趣味性，强化市民参与互动。</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（三）改进措施及建议</w:t>
      </w:r>
    </w:p>
    <w:p>
      <w:pPr>
        <w:spacing w:line="600" w:lineRule="exact"/>
        <w:ind w:firstLine="640" w:firstLineChars="200"/>
        <w:rPr>
          <w:rFonts w:hint="eastAsia" w:ascii="楷体_GB2312" w:eastAsia="楷体_GB2312"/>
          <w:sz w:val="32"/>
          <w:szCs w:val="32"/>
        </w:rPr>
      </w:pPr>
      <w:r>
        <w:rPr>
          <w:rFonts w:hint="eastAsia" w:ascii="仿宋_GB2312" w:hAnsi="仿宋_GB2312" w:eastAsia="仿宋_GB2312" w:cs="仿宋_GB2312"/>
          <w:sz w:val="32"/>
          <w:szCs w:val="32"/>
        </w:rPr>
        <w:t>如有机会再次承担成就展的相关工作，在组织中，将不断创新展览形式、展示内容、展示手段等，强化展馆的直观性、互动性，增加画册、光盘等形式延长展览周期。</w:t>
      </w:r>
      <w:r>
        <w:rPr>
          <w:rFonts w:hint="eastAsia" w:ascii="楷体_GB2312" w:eastAsia="楷体_GB2312"/>
          <w:sz w:val="32"/>
          <w:szCs w:val="32"/>
        </w:rPr>
        <w:br w:type="page"/>
      </w:r>
      <w:r>
        <w:rPr>
          <w:rFonts w:hint="eastAsia" w:ascii="楷体_GB2312" w:eastAsia="楷体_GB2312"/>
          <w:sz w:val="32"/>
          <w:szCs w:val="32"/>
        </w:rPr>
        <w:t>项目五：</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昆明市滇池保护治理整治教育展示馆</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改造布展工作支出绩效自评报告</w:t>
      </w:r>
    </w:p>
    <w:p>
      <w:pPr>
        <w:tabs>
          <w:tab w:val="left" w:pos="1322"/>
        </w:tabs>
        <w:topLinePunct/>
        <w:spacing w:line="600" w:lineRule="exact"/>
        <w:ind w:firstLine="800" w:firstLineChars="250"/>
        <w:rPr>
          <w:rFonts w:hint="eastAsia" w:ascii="黑体" w:hAnsi="黑体" w:eastAsia="黑体" w:cs="黑体"/>
          <w:sz w:val="32"/>
          <w:szCs w:val="32"/>
        </w:rPr>
      </w:pPr>
    </w:p>
    <w:p>
      <w:pPr>
        <w:tabs>
          <w:tab w:val="left" w:pos="1322"/>
        </w:tabs>
        <w:topLinePunct/>
        <w:spacing w:line="600" w:lineRule="exact"/>
        <w:ind w:firstLine="800" w:firstLineChars="250"/>
        <w:rPr>
          <w:rFonts w:ascii="黑体" w:hAnsi="黑体" w:eastAsia="黑体" w:cs="黑体"/>
          <w:sz w:val="32"/>
          <w:szCs w:val="32"/>
        </w:rPr>
      </w:pPr>
      <w:r>
        <w:rPr>
          <w:rFonts w:hint="eastAsia" w:ascii="黑体" w:hAnsi="黑体" w:eastAsia="黑体" w:cs="黑体"/>
          <w:sz w:val="32"/>
          <w:szCs w:val="32"/>
        </w:rPr>
        <w:t>一、项目基本情况</w:t>
      </w:r>
    </w:p>
    <w:p>
      <w:pPr>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tabs>
          <w:tab w:val="left" w:pos="2940"/>
        </w:tabs>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立项背景：按照省委、省政府和市委、市政府部署要求，拟改造建设昆明市滇池保护治理整治教育展示馆。</w:t>
      </w:r>
    </w:p>
    <w:p>
      <w:pPr>
        <w:pStyle w:val="8"/>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目的：坚持以习近平新时代中国特色社会主义思想为指导，全面深入贯彻习近平生态文明思想和习近平总书记考察云南重要讲话精神，坚定不移贯彻新发展理念，认真贯彻落实中央生态环境保护 督察组和省委、省政府关于生态环境保护工作的重要决策部署，综合运用现代化展陈技术手段，采用图文说明、模型陈列、影视 互动、教育教学等多种表现形式，集中宣传展示我市生态文明建 设取得的显著成效，展示滇池生态环境保护治理整改工作情况。通过总体规划、改造提升、创意布展、宣传推广等系列措施，着力将昆明市滇池保护治理整治教育展示馆打造成为宣介习近平生态文明思想、展示滇池生态环境保护治理的工作阵地。</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2.项目实施情况</w:t>
      </w:r>
    </w:p>
    <w:p>
      <w:pPr>
        <w:topLinePunct/>
        <w:spacing w:line="600" w:lineRule="exact"/>
        <w:ind w:firstLine="640" w:firstLineChars="200"/>
        <w:rPr>
          <w:rFonts w:ascii="宋体" w:hAnsi="宋体" w:eastAsia="仿宋_GB2312" w:cs="宋体"/>
          <w:sz w:val="24"/>
          <w:szCs w:val="24"/>
        </w:rPr>
      </w:pPr>
      <w:r>
        <w:rPr>
          <w:rFonts w:hint="eastAsia" w:ascii="仿宋_GB2312" w:hAnsi="仿宋_GB2312" w:eastAsia="仿宋_GB2312" w:cs="仿宋_GB2312"/>
          <w:sz w:val="32"/>
          <w:szCs w:val="32"/>
        </w:rPr>
        <w:t>昆明市滇池保护治理整治教育展示馆改造布展建设工作分为两个阶段进行，此支出绩效评价为第一阶段。第一阶段工作于 2021年10月8日前完成，以临时展出性质为主，通过图文、视频、实物等形式，全面客观展示此次环保督察环滇池沿岸整改的初步成效，反映近年来特别是“十三五”时期滇池保护治理及整改工作成效，把展示馆打造成为展现昆明市生态文明建设成果的重要窗口和示范基地。</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3.资金来源及使用情况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该项目资金来源为市级财政拨款，根据《昆明市财政局关于批复2021的部门预算的通知》，预算资金251万元，已于2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年12月8日批复到位，已全部投入到昆明市滇池保护治理整治教育展示馆改造布展建设工作第一阶段实施中。</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4.组织及管理情况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组织情况：项目由中共昆明市委主办、昆明市人民政府主办，中共昆明市委宣传部、中共昆明市委政策研究室、昆明市滇池管理局、晋宁区委、晋宁区人民政府承办，昆明报业传媒集团（昆明日报社）执行。项目成立昆明市滇池保护治理整治教育展示馆改造布展工作领导小组，负责统筹协调项目改造布展相关工作，研究解决改造布 展过程中存在的重点难点问题。领导小组下设综合协调组、大纲编撰组、资料收集组、布展 设计组、场地保障组 5 个工作组：</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 综合协调组：负责领导小组日常工作，对上沟通汇报，横向统 筹协调，协调领导小组成员单位和有关方面贯彻落实领导小组的决策部署、提出工作建议，服务保障领导小组会议活动；负责协调做好展览所需经费申请拨付相关事宜；完成领导小组交办的其 他事项。</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 大纲编撰组：负责展览大纲编撰工作；负责系统梳理党的十八大以来习近平总书记关于生态文明建设的重要论述，省委、省政 府和市委、市政府关于滇池保护治理的部署要求、制定出台的系列制度文件；拟定展陈文字内容作为布展依据；负责组建专家团队，对展览大纲以及展览图册内容、文字、图片、视频等进行论证、审核把关；完成领导小组交办的其他事项。</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 资料收集组：负责梳理汇总滇池历史变迁史料，影像资料、反映保护治理成效的代表性图片；梳理昆明市贯彻落实中央生态环境保护督察整改工作推进情况和取得实效；完成领导小组交办的其他事项。</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 布展设计组：负责制定布展方案和设计方案，并认真组织实施；负责与合作公司就展陈设计方案及内容进行沟通对接；负责协调设计施工方做好展厅设计和施工任务，及时跟进布展情况；负责项目招投标、各项支出登记和相关财务工作；配合会计、审计、造价等第三方机构相关工作；负责做好实物资产的管理、资产移交工作；配合做好展馆展品安全；完成领导小组交办的其他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⑹ 场地保障组：负责制定场地保障工作方案并组织实施，做好布展施工期间水电、保洁、通信网络等相关服务保障；对接相关部门和企业，做好项目产权处置、移交以及现有设备设施清查、维护、更换、安全保障等相关工作；做好改造布展涉及的法律事务工作；完成领导小组交办的其他事项。</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5.项目实施流程（第一阶段）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前期准备（2021年10月1日前）：制定印发改造布展总体 工作方案；现场踏勘项目场地，拟定展览总体构架；拟定布展详 细设计方案及展陈大纲并按程序报审。 </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布展施工（2021年10月8日前）：细化展览文字内容、梳 理需要展示的图片、影像资料，审定展览整体内容和排版设计，调配展陈所需实物作品，按照设计施工方案进行现场布展施工，完成沙盘制作及画面、视频安装调试。 </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运行使用（2021年10月8日后）：正式开展、投入运营。</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资金拨付流程：昆明市滇池保护治理整治教育展示馆改造布展的资金为财政资金，由市财政零余额账户拨付。</w:t>
      </w:r>
    </w:p>
    <w:p>
      <w:pPr>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（二）绩效目标</w:t>
      </w:r>
    </w:p>
    <w:p>
      <w:pPr>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1.总目标</w:t>
      </w:r>
    </w:p>
    <w:p>
      <w:pPr>
        <w:pStyle w:val="8"/>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改造布展昆明市滇池保护治理整治教育展示馆，将坚持以习近平新时代中国特色社会主义思想为指导，全面深入贯彻习近平生态文明思想和习近平总书记考察云南重要讲话精神，坚定不移贯彻新发展理念，认真贯彻落实中央生态环境保护督察组和省委、省政府关于生态环境保护工作的重要决策部署，综合运用现代化展陈技术手段，采用图文说明、模型陈列、影视互动、教育教学等多种表现形式，集中宣传展示我市生态文明建设取得的显著成效，展示滇池生态环境保护治理整改工作情况。通过总体规划、改造提升、创意布展、宣传推广等系列措施，着力将昆明市滇池保护治理整治教育展示馆打造成为宣介习近平生态文明思想、展示滇池生态环境保护治理的工作阵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2.年度目标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产出目标：宣介习近平生态文明思想，介绍滇池保护治理情况，反映昆明落实中央生态环保督查指出问题整改工作。</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效果目标：省委、省政府和市委、市政府现场实地调研。国家发改委工作组到展示馆进行了现场调研，听取有关情况汇报。根据省委统一安排，全省各地州（市）相继组织有关部门主要负责同志、县（市、区）党政主要负责同志到展示馆进行了集中观展。市委、市政府到展示馆召开滇池沿岸违规违建整治工作警示教育现场会。</w:t>
      </w:r>
    </w:p>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（一）绩效评价目的</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了解项目管理过程是否规范、产出目标是否完成以及效果目标是否实现等方面的内容，总结经验，查找不足，为项目在第二阶段的开展中提供可行性参考建议。在此基础上，重点分析项目预算编制的合理性、成本支出的真实性和控制有效性，评价财政资金的使用效率和效果，为第二阶段实施编制项目预算、选择项目实施主体等提供参考依据。</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昆明市滇池保护治理整治教育展示馆改造布展政治站位高。各级各部门从讲政治的高度充分认识做好本项目改造布展工作的重要意义，强化工作统筹，层层压实责任，倒排工期、挂图作战，严格按照时限要求不折不扣落实好领导小组交办的各项工作任务。</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昆明市滇池保护治理整治教育展示馆改造布展组织领导强。各级各有关部门在领导小组的统一领导下，加强沟通协作，明确职责分工，细化工作举措，紧紧围绕改造布展主题，研究细化各小组具体实施方案，做到精心组织、周密安排、定人定责、抓实抓细，确保各项工作落到实处。</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昆明市滇池保护治理整治教育展示馆改造布展分析研究细。领导小组各工作机构认真制定实施工作方案，按计划有序开展工作，定期召开会议分析研究解决工作开展中的困难和问题，确保各项工作按时推进。</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项目预算编制合理，成本支出真实，控制有效，对财政资金的使用效率高，效果明显。</w:t>
      </w:r>
    </w:p>
    <w:p>
      <w:pPr>
        <w:tabs>
          <w:tab w:val="left" w:pos="343"/>
        </w:tabs>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（二）绩效评价工作方案制定过程</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1.前期调研</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前期，项目组贯彻落实领导小组的决策部署、提出工作建议，梳理党的十八大以来习近平总书记关于生态文明建设的重要论述，省委、省政府和市委、市政府关于滇池保护治理的部署要求、制定出台的系列制度文件，拟定展陈文字内容作为布展依据，负责组建专家团队，对展览大纲以及展览图册内容、文字、图片、视频等进行论证、审核把关，在此基础上几经易稿，形成昆明市滇池保护治理整治教育展示馆改造布展方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2.研究文件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共昆明市委宣传部《昆明市滇池保护治理整治教育展示馆改造布展工作方案》，滇池历史变迁史料，影像资料、反映保护治理成效的代表性图片，梳理昆明市贯彻落实中央生态环境保护督察整改工作推进情况和取得实效的相关文件。</w:t>
      </w:r>
    </w:p>
    <w:p>
      <w:pPr>
        <w:numPr>
          <w:ilvl w:val="0"/>
          <w:numId w:val="2"/>
        </w:numPr>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绩效评价指标体系及工作方案的设计</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指标体系包含数量指标、效益指标、满意度指标3个一级指标。其中，数量指标下设数量指标、质量指标、时效指标、成本指标4个二级指标；时效指标下设社会效益指标、可持续影响指标2个二级指标；满意度下设服务对象满意度指标。</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工作方案设计了指导方针、主要目标、实施步骤、实施要求4个部分。</w:t>
      </w:r>
    </w:p>
    <w:p>
      <w:p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（三）绩效评价原则、评价方法</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1.绩效评价原则</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一是科学规范原则；该项目绩效评价严格遵循既定程序，科学可行；</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二是公开公正原则；该项目绩效评价公开公正；</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三是分级分类原则；该项目根据评价项目特点进行了分阶段组织实施；</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四是绩效相关原则。该项目政治站位高、组织领导强、展陈效果好、教育意义深刻，接受全省各地州（市）实地调研和观展。</w:t>
      </w:r>
    </w:p>
    <w:p>
      <w:pPr>
        <w:tabs>
          <w:tab w:val="left" w:pos="612"/>
        </w:tabs>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2.评价办法</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w:t>
      </w:r>
    </w:p>
    <w:p>
      <w:p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（四）绩效评价实施过程</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1.数据填报和采集</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该项目数据填报和采集均专人负责，建立台账并附有佐证资料。</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2.社会调查</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该项目在绩效评价实施过程中进行了充分的分析研究和调查。</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3.数据分析和撰写报告</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进行了科学合理的数据分析，撰写了报告：项目的实施，集中宣传展示我市生态文明建设取得的显著成效，展示滇池生态环境保护治理整改工作情况。通过总体规划、改造提升、创意布展、宣传推广等系列措施，着力将昆明市滇池保护治理整治教育展示馆打造成为宣介习近平生态文明思想、展示滇池生态环境保护治理的工作阵地。项目预算编制合理，成本支出真实，控制有效，对财政资金的使用效率高，效果明显。</w:t>
      </w:r>
    </w:p>
    <w:p>
      <w:p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（六）本次绩效评价的局限性</w:t>
      </w:r>
    </w:p>
    <w:p>
      <w:pPr>
        <w:topLinePunct/>
        <w:spacing w:line="60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本次绩效评价为数量指标、质量指标、时效指标、社会效益指标、可持续影响指标和服务对象满意度指标，其中，数量指标</w:t>
      </w:r>
      <w:r>
        <w:rPr>
          <w:rFonts w:hint="eastAsia" w:ascii="仿宋_GB2312" w:hAnsi="仿宋_GB2312" w:eastAsia="仿宋_GB2312" w:cs="仿宋_GB2312"/>
          <w:sz w:val="32"/>
          <w:szCs w:val="32"/>
          <w:shd w:val="clear" w:color="auto" w:fill="FFFFFF"/>
        </w:rPr>
        <w:t>设定时，对全面反映项目绩效可能存在一定的局限性。</w:t>
      </w:r>
    </w:p>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三、评价结论和绩效分析</w:t>
      </w:r>
    </w:p>
    <w:p>
      <w:pPr>
        <w:topLinePunct/>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1.评价结果</w:t>
      </w:r>
    </w:p>
    <w:p>
      <w:pPr>
        <w:overflowPunct w:val="0"/>
        <w:spacing w:line="600" w:lineRule="exact"/>
        <w:ind w:firstLine="640" w:firstLineChars="200"/>
      </w:pPr>
      <w:r>
        <w:rPr>
          <w:rFonts w:hint="eastAsia" w:ascii="仿宋_GB2312" w:hAnsi="仿宋_GB2312" w:eastAsia="仿宋_GB2312" w:cs="仿宋_GB2312"/>
          <w:sz w:val="32"/>
          <w:szCs w:val="32"/>
        </w:rPr>
        <w:t>受重视：10月8日、9日、10日，省委省政府、省人大常委会、省政协分别召开滇池沿岸违规违建整治情况通报会，与会人员分别赴展示馆进行了现场实地调研。10月11日，市委主要领导陪同国家发改委工作组到展示馆进行了现场调研，听取有关情况汇报。</w:t>
      </w:r>
    </w:p>
    <w:p>
      <w:pPr>
        <w:overflowPunct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效果好：10月16日至10月29日，根据省委统一安排，全省各地州（市）相继组织有关部门主要负责同志、县（市、区）党政主要负责同志到展示馆进行了集中观展。</w:t>
      </w:r>
    </w:p>
    <w:p>
      <w:pPr>
        <w:overflowPunct w:val="0"/>
        <w:spacing w:line="600" w:lineRule="exact"/>
        <w:ind w:firstLine="640" w:firstLineChars="200"/>
        <w:rPr>
          <w:sz w:val="32"/>
          <w:szCs w:val="32"/>
        </w:rPr>
      </w:pPr>
      <w:r>
        <w:rPr>
          <w:rFonts w:hint="eastAsia" w:ascii="仿宋_GB2312" w:hAnsi="仿宋_GB2312" w:eastAsia="仿宋_GB2312" w:cs="仿宋_GB2312"/>
          <w:sz w:val="32"/>
          <w:szCs w:val="32"/>
        </w:rPr>
        <w:t>阵地强：市委、市政府到展示馆召开滇池沿岸违规违建整治工作警示教育现场会。</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2.主要绩效</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深入贯彻习近平生态文明思想和习近平总书记考察云南重要讲话精神，坚定不移贯彻新发展理念，认真贯彻落实中央生态环境保护督察组和省委、省政府关于生态环境保护工作的重要决策部署。通过改造布展、实地调研、集中观展、现场警示教育等系列措施，着力将昆明市滇池保护治理整治教育展示馆打造成为宣讲习近平生态文明思想、展示滇池生态环境保护治理成果的工作阵地。</w:t>
      </w:r>
    </w:p>
    <w:p>
      <w:pPr>
        <w:topLinePunct/>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（二）具体绩效分析。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283"/>
        <w:gridCol w:w="3840"/>
        <w:gridCol w:w="1460"/>
        <w:gridCol w:w="753"/>
      </w:tblGrid>
      <w:tr>
        <w:tblPrEx>
          <w:tblCellMar>
            <w:top w:w="0" w:type="dxa"/>
            <w:left w:w="108" w:type="dxa"/>
            <w:bottom w:w="0" w:type="dxa"/>
            <w:right w:w="108" w:type="dxa"/>
          </w:tblCellMar>
        </w:tblPrEx>
        <w:trPr>
          <w:jc w:val="center"/>
        </w:trPr>
        <w:tc>
          <w:tcPr>
            <w:tcW w:w="1186"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一级指标</w:t>
            </w:r>
          </w:p>
        </w:tc>
        <w:tc>
          <w:tcPr>
            <w:tcW w:w="128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二级指标</w:t>
            </w: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三级指标</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指标值</w:t>
            </w:r>
          </w:p>
        </w:tc>
        <w:tc>
          <w:tcPr>
            <w:tcW w:w="75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Merge w:val="restart"/>
            <w:noWrap w:val="0"/>
            <w:vAlign w:val="center"/>
          </w:tcPr>
          <w:p>
            <w:pPr>
              <w:spacing w:line="600" w:lineRule="exact"/>
              <w:rPr>
                <w:rFonts w:ascii="仿宋" w:hAnsi="仿宋" w:eastAsia="仿宋" w:cs="仿宋"/>
                <w:sz w:val="24"/>
                <w:szCs w:val="24"/>
              </w:rPr>
            </w:pPr>
          </w:p>
          <w:p>
            <w:pPr>
              <w:spacing w:line="600" w:lineRule="exact"/>
              <w:rPr>
                <w:rFonts w:ascii="仿宋" w:hAnsi="仿宋" w:eastAsia="仿宋" w:cs="仿宋"/>
                <w:sz w:val="24"/>
                <w:szCs w:val="24"/>
              </w:rPr>
            </w:pPr>
          </w:p>
          <w:p>
            <w:pPr>
              <w:spacing w:line="600" w:lineRule="exact"/>
              <w:rPr>
                <w:rFonts w:ascii="仿宋" w:hAnsi="仿宋" w:eastAsia="仿宋" w:cs="仿宋"/>
                <w:sz w:val="24"/>
                <w:szCs w:val="24"/>
              </w:rPr>
            </w:pPr>
            <w:r>
              <w:rPr>
                <w:rFonts w:hint="eastAsia" w:ascii="仿宋" w:hAnsi="仿宋" w:eastAsia="仿宋" w:cs="仿宋"/>
                <w:sz w:val="24"/>
                <w:szCs w:val="24"/>
              </w:rPr>
              <w:t>数量指标</w:t>
            </w:r>
          </w:p>
          <w:p>
            <w:pPr>
              <w:topLinePunct/>
              <w:spacing w:line="600" w:lineRule="exact"/>
              <w:rPr>
                <w:rFonts w:ascii="仿宋" w:hAnsi="仿宋" w:eastAsia="仿宋" w:cs="仿宋"/>
                <w:sz w:val="24"/>
                <w:szCs w:val="24"/>
              </w:rPr>
            </w:pPr>
          </w:p>
          <w:p>
            <w:pPr>
              <w:spacing w:line="600" w:lineRule="exact"/>
              <w:rPr>
                <w:rFonts w:ascii="仿宋" w:hAnsi="仿宋" w:eastAsia="仿宋" w:cs="仿宋"/>
                <w:sz w:val="24"/>
                <w:szCs w:val="24"/>
              </w:rPr>
            </w:pPr>
          </w:p>
          <w:p>
            <w:pPr>
              <w:topLinePunct/>
              <w:spacing w:line="600" w:lineRule="exact"/>
            </w:pPr>
          </w:p>
          <w:p>
            <w:pPr>
              <w:pStyle w:val="8"/>
              <w:spacing w:line="600" w:lineRule="exact"/>
              <w:rPr>
                <w:rFonts w:ascii="仿宋" w:hAnsi="仿宋" w:eastAsia="仿宋" w:cs="仿宋"/>
                <w:sz w:val="24"/>
                <w:szCs w:val="24"/>
              </w:rPr>
            </w:pPr>
          </w:p>
          <w:p>
            <w:pPr>
              <w:pStyle w:val="8"/>
              <w:spacing w:line="600" w:lineRule="exact"/>
              <w:rPr>
                <w:rFonts w:ascii="仿宋" w:hAnsi="仿宋" w:eastAsia="仿宋" w:cs="仿宋"/>
                <w:sz w:val="24"/>
                <w:szCs w:val="24"/>
              </w:rPr>
            </w:pPr>
          </w:p>
        </w:tc>
        <w:tc>
          <w:tcPr>
            <w:tcW w:w="1283" w:type="dxa"/>
            <w:vMerge w:val="restart"/>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数量指标</w:t>
            </w: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参与队伍</w:t>
            </w:r>
          </w:p>
        </w:tc>
        <w:tc>
          <w:tcPr>
            <w:tcW w:w="1460" w:type="dxa"/>
            <w:noWrap w:val="0"/>
            <w:vAlign w:val="center"/>
          </w:tcPr>
          <w:p>
            <w:pPr>
              <w:widowControl/>
              <w:spacing w:line="600" w:lineRule="exact"/>
              <w:textAlignment w:val="center"/>
              <w:rPr>
                <w:rFonts w:ascii="仿宋" w:hAnsi="仿宋" w:eastAsia="仿宋" w:cs="仿宋"/>
                <w:sz w:val="24"/>
                <w:szCs w:val="24"/>
              </w:rPr>
            </w:pPr>
            <w:r>
              <w:rPr>
                <w:rFonts w:hint="eastAsia" w:ascii="仿宋" w:hAnsi="仿宋" w:eastAsia="仿宋" w:cs="仿宋"/>
                <w:color w:val="000000"/>
                <w:kern w:val="0"/>
                <w:sz w:val="24"/>
                <w:szCs w:val="24"/>
              </w:rPr>
              <w:t>=40</w:t>
            </w:r>
          </w:p>
        </w:tc>
        <w:tc>
          <w:tcPr>
            <w:tcW w:w="753" w:type="dxa"/>
            <w:vMerge w:val="restart"/>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Merge w:val="continue"/>
            <w:noWrap w:val="0"/>
            <w:vAlign w:val="center"/>
          </w:tcPr>
          <w:p>
            <w:pPr>
              <w:spacing w:line="600" w:lineRule="exact"/>
            </w:pPr>
          </w:p>
        </w:tc>
        <w:tc>
          <w:tcPr>
            <w:tcW w:w="1283" w:type="dxa"/>
            <w:vMerge w:val="continue"/>
            <w:noWrap w:val="0"/>
            <w:vAlign w:val="center"/>
          </w:tcPr>
          <w:p>
            <w:pPr>
              <w:spacing w:line="600" w:lineRule="exact"/>
              <w:rPr>
                <w:rFonts w:ascii="仿宋" w:hAnsi="仿宋" w:eastAsia="仿宋" w:cs="仿宋"/>
                <w:sz w:val="24"/>
                <w:szCs w:val="24"/>
              </w:rPr>
            </w:pP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观展场次</w:t>
            </w:r>
          </w:p>
        </w:tc>
        <w:tc>
          <w:tcPr>
            <w:tcW w:w="1460" w:type="dxa"/>
            <w:noWrap w:val="0"/>
            <w:vAlign w:val="center"/>
          </w:tcPr>
          <w:p>
            <w:pPr>
              <w:widowControl/>
              <w:spacing w:line="600" w:lineRule="exact"/>
              <w:textAlignment w:val="center"/>
              <w:rPr>
                <w:rFonts w:ascii="仿宋" w:hAnsi="仿宋" w:eastAsia="仿宋" w:cs="仿宋"/>
                <w:sz w:val="24"/>
                <w:szCs w:val="24"/>
              </w:rPr>
            </w:pPr>
            <w:r>
              <w:rPr>
                <w:rFonts w:hint="eastAsia" w:ascii="仿宋" w:hAnsi="仿宋" w:eastAsia="仿宋" w:cs="仿宋"/>
                <w:color w:val="000000"/>
                <w:kern w:val="0"/>
                <w:sz w:val="24"/>
                <w:szCs w:val="24"/>
              </w:rPr>
              <w:t>=50次</w:t>
            </w:r>
          </w:p>
        </w:tc>
        <w:tc>
          <w:tcPr>
            <w:tcW w:w="753" w:type="dxa"/>
            <w:vMerge w:val="continue"/>
            <w:noWrap w:val="0"/>
            <w:vAlign w:val="center"/>
          </w:tcPr>
          <w:p>
            <w:pPr>
              <w:spacing w:line="6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Merge w:val="continue"/>
            <w:noWrap w:val="0"/>
            <w:vAlign w:val="center"/>
          </w:tcPr>
          <w:p>
            <w:pPr>
              <w:spacing w:line="600" w:lineRule="exact"/>
              <w:rPr>
                <w:rFonts w:ascii="仿宋" w:hAnsi="仿宋" w:eastAsia="仿宋" w:cs="仿宋"/>
                <w:sz w:val="24"/>
                <w:szCs w:val="24"/>
              </w:rPr>
            </w:pPr>
          </w:p>
        </w:tc>
        <w:tc>
          <w:tcPr>
            <w:tcW w:w="1283" w:type="dxa"/>
            <w:vMerge w:val="continue"/>
            <w:noWrap w:val="0"/>
            <w:vAlign w:val="center"/>
          </w:tcPr>
          <w:p>
            <w:pPr>
              <w:spacing w:line="600" w:lineRule="exact"/>
              <w:rPr>
                <w:rFonts w:ascii="仿宋" w:hAnsi="仿宋" w:eastAsia="仿宋" w:cs="仿宋"/>
                <w:sz w:val="24"/>
                <w:szCs w:val="24"/>
              </w:rPr>
            </w:pP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覆盖人数</w:t>
            </w:r>
          </w:p>
        </w:tc>
        <w:tc>
          <w:tcPr>
            <w:tcW w:w="1460" w:type="dxa"/>
            <w:noWrap w:val="0"/>
            <w:vAlign w:val="center"/>
          </w:tcPr>
          <w:p>
            <w:pPr>
              <w:widowControl/>
              <w:spacing w:line="600" w:lineRule="exact"/>
              <w:textAlignment w:val="center"/>
              <w:rPr>
                <w:rFonts w:ascii="仿宋" w:hAnsi="仿宋" w:eastAsia="仿宋" w:cs="仿宋"/>
                <w:sz w:val="24"/>
                <w:szCs w:val="24"/>
              </w:rPr>
            </w:pPr>
            <w:r>
              <w:rPr>
                <w:rFonts w:hint="eastAsia" w:ascii="仿宋" w:hAnsi="仿宋" w:eastAsia="仿宋" w:cs="仿宋"/>
                <w:color w:val="000000"/>
                <w:kern w:val="0"/>
                <w:sz w:val="24"/>
                <w:szCs w:val="24"/>
              </w:rPr>
              <w:t>≧2000</w:t>
            </w:r>
          </w:p>
        </w:tc>
        <w:tc>
          <w:tcPr>
            <w:tcW w:w="753" w:type="dxa"/>
            <w:vMerge w:val="continue"/>
            <w:noWrap w:val="0"/>
            <w:vAlign w:val="center"/>
          </w:tcPr>
          <w:p>
            <w:pPr>
              <w:spacing w:line="6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86" w:type="dxa"/>
            <w:vMerge w:val="continue"/>
            <w:noWrap w:val="0"/>
            <w:vAlign w:val="center"/>
          </w:tcPr>
          <w:p>
            <w:pPr>
              <w:topLinePunct/>
              <w:spacing w:line="600" w:lineRule="exact"/>
              <w:rPr>
                <w:rFonts w:ascii="仿宋" w:hAnsi="仿宋" w:eastAsia="仿宋" w:cs="仿宋"/>
                <w:sz w:val="24"/>
                <w:szCs w:val="24"/>
              </w:rPr>
            </w:pPr>
          </w:p>
        </w:tc>
        <w:tc>
          <w:tcPr>
            <w:tcW w:w="128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质量指标</w:t>
            </w:r>
          </w:p>
        </w:tc>
        <w:tc>
          <w:tcPr>
            <w:tcW w:w="3840" w:type="dxa"/>
            <w:noWrap w:val="0"/>
            <w:vAlign w:val="center"/>
          </w:tcPr>
          <w:p>
            <w:pPr>
              <w:widowControl/>
              <w:spacing w:line="600" w:lineRule="exact"/>
              <w:textAlignment w:val="center"/>
              <w:rPr>
                <w:rFonts w:ascii="仿宋" w:hAnsi="仿宋" w:eastAsia="仿宋" w:cs="仿宋"/>
                <w:sz w:val="24"/>
                <w:szCs w:val="24"/>
              </w:rPr>
            </w:pPr>
            <w:r>
              <w:rPr>
                <w:rFonts w:hint="eastAsia" w:ascii="仿宋" w:hAnsi="仿宋" w:eastAsia="仿宋" w:cs="仿宋"/>
                <w:color w:val="000000"/>
                <w:kern w:val="0"/>
                <w:sz w:val="24"/>
                <w:szCs w:val="24"/>
              </w:rPr>
              <w:t>宣介习近平生态文明思想、展示滇池生态环境保护治理的工作阵地。</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color w:val="000000"/>
                <w:kern w:val="0"/>
                <w:sz w:val="24"/>
                <w:szCs w:val="24"/>
              </w:rPr>
              <w:t>≧100</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86" w:type="dxa"/>
            <w:vMerge w:val="continue"/>
            <w:noWrap w:val="0"/>
            <w:vAlign w:val="center"/>
          </w:tcPr>
          <w:p>
            <w:pPr>
              <w:spacing w:line="600" w:lineRule="exact"/>
              <w:ind w:firstLine="468"/>
              <w:rPr>
                <w:rFonts w:ascii="仿宋" w:hAnsi="仿宋" w:eastAsia="仿宋" w:cs="仿宋"/>
                <w:sz w:val="24"/>
                <w:szCs w:val="24"/>
              </w:rPr>
            </w:pPr>
          </w:p>
        </w:tc>
        <w:tc>
          <w:tcPr>
            <w:tcW w:w="1283" w:type="dxa"/>
            <w:vMerge w:val="restart"/>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时效指标</w:t>
            </w: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昆明市滇池保护治理整治教育展示馆第一阶段改造布展完成。</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10月1日至10月7日</w:t>
            </w:r>
          </w:p>
        </w:tc>
        <w:tc>
          <w:tcPr>
            <w:tcW w:w="753" w:type="dxa"/>
            <w:vMerge w:val="restart"/>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186" w:type="dxa"/>
            <w:vMerge w:val="continue"/>
            <w:noWrap w:val="0"/>
            <w:vAlign w:val="center"/>
          </w:tcPr>
          <w:p>
            <w:pPr>
              <w:spacing w:line="600" w:lineRule="exact"/>
              <w:ind w:firstLine="468"/>
              <w:rPr>
                <w:rFonts w:ascii="仿宋" w:hAnsi="仿宋" w:eastAsia="仿宋" w:cs="仿宋"/>
                <w:sz w:val="24"/>
                <w:szCs w:val="24"/>
              </w:rPr>
            </w:pPr>
          </w:p>
        </w:tc>
        <w:tc>
          <w:tcPr>
            <w:tcW w:w="1283" w:type="dxa"/>
            <w:vMerge w:val="continue"/>
            <w:noWrap w:val="0"/>
            <w:vAlign w:val="center"/>
          </w:tcPr>
          <w:p>
            <w:pPr>
              <w:spacing w:line="600" w:lineRule="exact"/>
              <w:rPr>
                <w:rFonts w:ascii="仿宋" w:hAnsi="仿宋" w:eastAsia="仿宋" w:cs="仿宋"/>
                <w:sz w:val="24"/>
                <w:szCs w:val="24"/>
              </w:rPr>
            </w:pP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省委省政府、省人大常委会、省政协分别召开滇池沿岸违规违建整治情况通报会，与会人员分别赴展示馆进行了现场实地调研；昆明市滇池保护治理整治教育展示馆第一阶段改造布展进行提升，并多次进行内容更新。</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10月8至10月15日</w:t>
            </w:r>
          </w:p>
        </w:tc>
        <w:tc>
          <w:tcPr>
            <w:tcW w:w="753" w:type="dxa"/>
            <w:vMerge w:val="continue"/>
            <w:noWrap w:val="0"/>
            <w:vAlign w:val="center"/>
          </w:tcPr>
          <w:p>
            <w:pPr>
              <w:topLinePunct/>
              <w:spacing w:line="6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0" w:hRule="atLeast"/>
          <w:jc w:val="center"/>
        </w:trPr>
        <w:tc>
          <w:tcPr>
            <w:tcW w:w="1186" w:type="dxa"/>
            <w:vMerge w:val="continue"/>
            <w:noWrap w:val="0"/>
            <w:vAlign w:val="center"/>
          </w:tcPr>
          <w:p>
            <w:pPr>
              <w:spacing w:line="600" w:lineRule="exact"/>
            </w:pPr>
          </w:p>
        </w:tc>
        <w:tc>
          <w:tcPr>
            <w:tcW w:w="1283" w:type="dxa"/>
            <w:vMerge w:val="continue"/>
            <w:noWrap w:val="0"/>
            <w:vAlign w:val="center"/>
          </w:tcPr>
          <w:p>
            <w:pPr>
              <w:spacing w:line="600" w:lineRule="exact"/>
            </w:pP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市委主要领导陪同国家发改委工作组到展示馆进行了现场调研，听取有关情况汇报；根据省委统一安排，全省各地州（市）相继组织有关部门主要负责同志、县（市、区）党政主要负责同志到展示馆进行了集中观展；市委、市政府到展示馆召开滇池沿岸违规违建整治工作警示教育现场会。</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10月16日至12月31日</w:t>
            </w:r>
          </w:p>
        </w:tc>
        <w:tc>
          <w:tcPr>
            <w:tcW w:w="753" w:type="dxa"/>
            <w:vMerge w:val="continue"/>
            <w:noWrap w:val="0"/>
            <w:vAlign w:val="center"/>
          </w:tcPr>
          <w:p>
            <w:pPr>
              <w:spacing w:line="6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1186" w:type="dxa"/>
            <w:vMerge w:val="restart"/>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效益指标</w:t>
            </w:r>
          </w:p>
        </w:tc>
        <w:tc>
          <w:tcPr>
            <w:tcW w:w="1283"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社会效益指标</w:t>
            </w: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昆明市滇池保护治理整治教育展示馆第一阶段改造布展以临时展出性质为主，通过图文、视频、实物等形式，全面客观展示此次环保督察环滇池沿岸整改的初步成效，反应今年来特别是“十三五”时期滇池保护治理及整改工作成效。</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昆明市生态文明建设、滇池生态环境保护治理整改工作成效显著。</w:t>
            </w:r>
          </w:p>
        </w:tc>
        <w:tc>
          <w:tcPr>
            <w:tcW w:w="753" w:type="dxa"/>
            <w:vMerge w:val="restart"/>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pStyle w:val="8"/>
              <w:spacing w:line="600" w:lineRule="exact"/>
              <w:rPr>
                <w:rFonts w:ascii="仿宋" w:hAnsi="仿宋" w:eastAsia="仿宋" w:cs="仿宋"/>
                <w:sz w:val="24"/>
                <w:szCs w:val="24"/>
              </w:rPr>
            </w:pPr>
          </w:p>
        </w:tc>
        <w:tc>
          <w:tcPr>
            <w:tcW w:w="1283" w:type="dxa"/>
            <w:vMerge w:val="restart"/>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可持续影响指标</w:t>
            </w: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昆明滇池保护治理及整改工作</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效果明显提高</w:t>
            </w:r>
          </w:p>
        </w:tc>
        <w:tc>
          <w:tcPr>
            <w:tcW w:w="753" w:type="dxa"/>
            <w:vMerge w:val="continue"/>
            <w:noWrap w:val="0"/>
            <w:vAlign w:val="center"/>
          </w:tcPr>
          <w:p>
            <w:pPr>
              <w:topLinePunct/>
              <w:spacing w:line="6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spacing w:line="600" w:lineRule="exact"/>
              <w:rPr>
                <w:rFonts w:ascii="仿宋" w:hAnsi="仿宋" w:eastAsia="仿宋" w:cs="仿宋"/>
                <w:sz w:val="24"/>
                <w:szCs w:val="24"/>
              </w:rPr>
            </w:pPr>
          </w:p>
        </w:tc>
        <w:tc>
          <w:tcPr>
            <w:tcW w:w="1283" w:type="dxa"/>
            <w:vMerge w:val="continue"/>
            <w:noWrap w:val="0"/>
            <w:vAlign w:val="center"/>
          </w:tcPr>
          <w:p>
            <w:pPr>
              <w:spacing w:line="600" w:lineRule="exact"/>
              <w:rPr>
                <w:rFonts w:ascii="仿宋" w:hAnsi="仿宋" w:eastAsia="仿宋" w:cs="仿宋"/>
                <w:sz w:val="24"/>
                <w:szCs w:val="24"/>
              </w:rPr>
            </w:pPr>
          </w:p>
        </w:tc>
        <w:tc>
          <w:tcPr>
            <w:tcW w:w="3840" w:type="dxa"/>
            <w:noWrap w:val="0"/>
            <w:vAlign w:val="center"/>
          </w:tcPr>
          <w:p>
            <w:pPr>
              <w:tabs>
                <w:tab w:val="left" w:pos="987"/>
              </w:tabs>
              <w:spacing w:line="600" w:lineRule="exact"/>
              <w:rPr>
                <w:rFonts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国家发改委工作组现场调研，全省、市主要相关部门主要负责同志及到展示馆集中观展，学习教育持续走向深入</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持续强化学习教育</w:t>
            </w:r>
          </w:p>
        </w:tc>
        <w:tc>
          <w:tcPr>
            <w:tcW w:w="753" w:type="dxa"/>
            <w:vMerge w:val="continue"/>
            <w:noWrap w:val="0"/>
            <w:vAlign w:val="center"/>
          </w:tcPr>
          <w:p>
            <w:pPr>
              <w:topLinePunct/>
              <w:spacing w:line="6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noWrap w:val="0"/>
            <w:vAlign w:val="center"/>
          </w:tcPr>
          <w:p>
            <w:pPr>
              <w:topLinePunct/>
              <w:spacing w:line="600" w:lineRule="exact"/>
              <w:rPr>
                <w:rFonts w:ascii="仿宋" w:hAnsi="仿宋" w:eastAsia="仿宋" w:cs="仿宋"/>
                <w:sz w:val="24"/>
                <w:szCs w:val="24"/>
              </w:rPr>
            </w:pPr>
          </w:p>
        </w:tc>
        <w:tc>
          <w:tcPr>
            <w:tcW w:w="1283" w:type="dxa"/>
            <w:vMerge w:val="continue"/>
            <w:noWrap w:val="0"/>
            <w:vAlign w:val="center"/>
          </w:tcPr>
          <w:p>
            <w:pPr>
              <w:topLinePunct/>
              <w:spacing w:line="600" w:lineRule="exact"/>
              <w:rPr>
                <w:rFonts w:ascii="仿宋" w:hAnsi="仿宋" w:eastAsia="仿宋" w:cs="仿宋"/>
                <w:sz w:val="24"/>
                <w:szCs w:val="24"/>
              </w:rPr>
            </w:pP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昆明市生态文明建设成果的重要窗口和示范基地</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生态文明示范性强</w:t>
            </w:r>
          </w:p>
        </w:tc>
        <w:tc>
          <w:tcPr>
            <w:tcW w:w="753" w:type="dxa"/>
            <w:vMerge w:val="continue"/>
            <w:noWrap w:val="0"/>
            <w:vAlign w:val="center"/>
          </w:tcPr>
          <w:p>
            <w:pPr>
              <w:topLinePunct/>
              <w:spacing w:line="6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pStyle w:val="8"/>
              <w:spacing w:line="600" w:lineRule="exact"/>
              <w:rPr>
                <w:rFonts w:ascii="仿宋" w:hAnsi="仿宋" w:eastAsia="仿宋" w:cs="仿宋"/>
                <w:sz w:val="24"/>
                <w:szCs w:val="24"/>
              </w:rPr>
            </w:pPr>
            <w:r>
              <w:rPr>
                <w:rFonts w:hint="eastAsia" w:ascii="仿宋" w:hAnsi="仿宋" w:eastAsia="仿宋" w:cs="仿宋"/>
                <w:sz w:val="24"/>
                <w:szCs w:val="24"/>
              </w:rPr>
              <w:t>满意度指标</w:t>
            </w:r>
          </w:p>
        </w:tc>
        <w:tc>
          <w:tcPr>
            <w:tcW w:w="128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服务对象满意度指标</w:t>
            </w:r>
          </w:p>
        </w:tc>
        <w:tc>
          <w:tcPr>
            <w:tcW w:w="384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国家发改委工作组，省委省政府、省人大常委会、省政协，全省各地州（市）相继组织有关部门主要负责同志、县（市、区）党政主要负责同志，市委、市政府。</w:t>
            </w: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color w:val="000000"/>
                <w:kern w:val="0"/>
                <w:sz w:val="24"/>
                <w:szCs w:val="24"/>
              </w:rPr>
              <w:t>≧100</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topLinePunct/>
              <w:spacing w:line="600" w:lineRule="exact"/>
              <w:rPr>
                <w:rFonts w:ascii="仿宋" w:hAnsi="仿宋" w:eastAsia="仿宋" w:cs="仿宋"/>
                <w:sz w:val="24"/>
                <w:szCs w:val="24"/>
              </w:rPr>
            </w:pPr>
          </w:p>
        </w:tc>
        <w:tc>
          <w:tcPr>
            <w:tcW w:w="1283" w:type="dxa"/>
            <w:noWrap w:val="0"/>
            <w:vAlign w:val="center"/>
          </w:tcPr>
          <w:p>
            <w:pPr>
              <w:spacing w:line="600" w:lineRule="exact"/>
              <w:rPr>
                <w:rFonts w:ascii="仿宋" w:hAnsi="仿宋" w:eastAsia="仿宋" w:cs="仿宋"/>
                <w:sz w:val="24"/>
                <w:szCs w:val="24"/>
              </w:rPr>
            </w:pPr>
          </w:p>
        </w:tc>
        <w:tc>
          <w:tcPr>
            <w:tcW w:w="3840" w:type="dxa"/>
            <w:noWrap w:val="0"/>
            <w:vAlign w:val="center"/>
          </w:tcPr>
          <w:p>
            <w:pPr>
              <w:spacing w:line="600" w:lineRule="exact"/>
              <w:rPr>
                <w:rFonts w:ascii="仿宋" w:hAnsi="仿宋" w:eastAsia="仿宋" w:cs="仿宋"/>
                <w:sz w:val="24"/>
                <w:szCs w:val="24"/>
              </w:rPr>
            </w:pPr>
          </w:p>
        </w:tc>
        <w:tc>
          <w:tcPr>
            <w:tcW w:w="1460" w:type="dxa"/>
            <w:noWrap w:val="0"/>
            <w:vAlign w:val="center"/>
          </w:tcPr>
          <w:p>
            <w:pPr>
              <w:spacing w:line="600" w:lineRule="exact"/>
              <w:rPr>
                <w:rFonts w:ascii="仿宋" w:hAnsi="仿宋" w:eastAsia="仿宋" w:cs="仿宋"/>
                <w:sz w:val="24"/>
                <w:szCs w:val="24"/>
              </w:rPr>
            </w:pPr>
            <w:r>
              <w:rPr>
                <w:rFonts w:hint="eastAsia" w:ascii="仿宋" w:hAnsi="仿宋" w:eastAsia="仿宋" w:cs="仿宋"/>
                <w:sz w:val="24"/>
                <w:szCs w:val="24"/>
              </w:rPr>
              <w:t>合计：</w:t>
            </w:r>
          </w:p>
        </w:tc>
        <w:tc>
          <w:tcPr>
            <w:tcW w:w="753" w:type="dxa"/>
            <w:noWrap w:val="0"/>
            <w:vAlign w:val="center"/>
          </w:tcPr>
          <w:p>
            <w:pPr>
              <w:topLinePunct/>
              <w:spacing w:line="600" w:lineRule="exact"/>
              <w:rPr>
                <w:rFonts w:ascii="仿宋" w:hAnsi="仿宋" w:eastAsia="仿宋" w:cs="仿宋"/>
                <w:sz w:val="24"/>
                <w:szCs w:val="24"/>
              </w:rPr>
            </w:pPr>
            <w:r>
              <w:rPr>
                <w:rFonts w:hint="eastAsia" w:ascii="仿宋" w:hAnsi="仿宋" w:eastAsia="仿宋" w:cs="仿宋"/>
                <w:sz w:val="24"/>
                <w:szCs w:val="24"/>
              </w:rPr>
              <w:t>99</w:t>
            </w:r>
          </w:p>
        </w:tc>
      </w:tr>
    </w:tbl>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四、成本效益分析</w:t>
      </w:r>
    </w:p>
    <w:p>
      <w:pPr>
        <w:topLinePunct/>
        <w:spacing w:line="600" w:lineRule="exact"/>
        <w:ind w:firstLine="668" w:firstLineChars="209"/>
        <w:rPr>
          <w:rFonts w:ascii="仿宋_GB2312" w:hAnsi="仿宋_GB2312" w:eastAsia="仿宋_GB2312" w:cs="仿宋_GB2312"/>
          <w:sz w:val="32"/>
          <w:szCs w:val="32"/>
        </w:rPr>
      </w:pPr>
      <w:r>
        <w:rPr>
          <w:rFonts w:hint="eastAsia" w:ascii="仿宋_GB2312" w:hAnsi="仿宋_GB2312" w:eastAsia="仿宋_GB2312" w:cs="仿宋_GB2312"/>
          <w:sz w:val="32"/>
          <w:szCs w:val="32"/>
        </w:rPr>
        <w:t>资金使用方向正确，收支结构合理；项目资金管理规范；资金节约性、资金使用效果明显。</w:t>
      </w:r>
    </w:p>
    <w:p>
      <w:pPr>
        <w:topLinePunct/>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五、主要经验及做法、存在的问题和建议</w:t>
      </w:r>
    </w:p>
    <w:p>
      <w:pPr>
        <w:topLinePunct/>
        <w:spacing w:line="60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rPr>
        <w:t>（一）主要经验及做法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1.政治站位高</w:t>
      </w:r>
    </w:p>
    <w:p>
      <w:pPr>
        <w:pStyle w:val="8"/>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各级各部门从讲政治的高度充分认识做好本项目改造布展工作的重要意义，强化工作统筹，层层压实责任，倒排工期、挂图作战，严格按照时限要求不折不扣落实好领导小组交办的各项工作任务。</w:t>
      </w:r>
    </w:p>
    <w:p>
      <w:pPr>
        <w:pStyle w:val="8"/>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2.组织领导强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各级各有关部门在领导小组的统一领导下，加强沟通协作，明确职责分工，细化工作举措，紧紧围绕改造布展主题，研究细化各小组具体实施方案，做到精心组织、 周密安排、定人定责、抓实抓细，确保各项工作落到实处。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3.分析研究细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领导小组各工作机构认真制定实施工作方案，按计划有序开展工作，定期召开会议分析研究解决工作开展中的困难和问题，确保各项工作按时推进。</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（二）存在的问题</w:t>
      </w:r>
    </w:p>
    <w:p>
      <w:pPr>
        <w:spacing w:line="600" w:lineRule="exact"/>
        <w:ind w:firstLine="640" w:firstLineChars="200"/>
        <w:rPr>
          <w:sz w:val="32"/>
          <w:szCs w:val="32"/>
        </w:rPr>
      </w:pPr>
      <w:r>
        <w:rPr>
          <w:rFonts w:hint="eastAsia" w:ascii="仿宋_GB2312" w:hAnsi="仿宋_GB2312" w:eastAsia="仿宋_GB2312" w:cs="仿宋_GB2312"/>
          <w:sz w:val="32"/>
          <w:szCs w:val="32"/>
        </w:rPr>
        <w:t>因时间紧、任务重，展陈形式在设计上较为单一。</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（三）改进措施及建议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在不断的优化提升中，加强对展览大纲以及展览图册内容、文字、图片、视频等论证工作。</w:t>
      </w:r>
    </w:p>
    <w:p>
      <w:pPr>
        <w:pStyle w:val="9"/>
        <w:keepNext/>
        <w:keepLines/>
        <w:spacing w:after="0" w:line="600" w:lineRule="exact"/>
        <w:jc w:val="both"/>
        <w:rPr>
          <w:rFonts w:hint="eastAsia" w:ascii="楷体_GB2312" w:eastAsia="楷体_GB2312"/>
          <w:sz w:val="32"/>
          <w:szCs w:val="32"/>
          <w:lang w:eastAsia="zh-CN"/>
        </w:rPr>
      </w:pPr>
      <w:r>
        <w:rPr>
          <w:rFonts w:hint="eastAsia" w:ascii="楷体_GB2312" w:hAnsi="Times New Roman" w:eastAsia="楷体_GB2312"/>
          <w:sz w:val="32"/>
          <w:szCs w:val="32"/>
        </w:rPr>
        <w:br w:type="page"/>
      </w:r>
      <w:r>
        <w:rPr>
          <w:rFonts w:hint="eastAsia" w:ascii="楷体_GB2312" w:hAnsi="Times New Roman" w:eastAsia="楷体_GB2312"/>
          <w:sz w:val="32"/>
          <w:szCs w:val="32"/>
        </w:rPr>
        <w:t>项目</w:t>
      </w:r>
      <w:r>
        <w:rPr>
          <w:rFonts w:hint="eastAsia" w:ascii="楷体_GB2312" w:eastAsia="楷体_GB2312"/>
          <w:sz w:val="32"/>
          <w:szCs w:val="32"/>
        </w:rPr>
        <w:t>六</w:t>
      </w:r>
      <w:r>
        <w:rPr>
          <w:rFonts w:hint="eastAsia" w:ascii="楷体_GB2312" w:eastAsia="楷体_GB2312"/>
          <w:sz w:val="32"/>
          <w:szCs w:val="32"/>
          <w:lang w:eastAsia="zh-CN"/>
        </w:rPr>
        <w:t>：</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中央补助地方公共文化服务体系建设资金</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（县级融媒体中心建设项目）转移支付</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2021年度绩效自评报告</w:t>
      </w:r>
    </w:p>
    <w:p>
      <w:pPr>
        <w:topLinePunct/>
        <w:spacing w:line="600" w:lineRule="exact"/>
        <w:ind w:firstLine="640" w:firstLineChars="200"/>
        <w:rPr>
          <w:rFonts w:hint="eastAsia" w:ascii="黑体" w:eastAsia="黑体"/>
          <w:sz w:val="32"/>
          <w:szCs w:val="32"/>
        </w:rPr>
      </w:pPr>
    </w:p>
    <w:p>
      <w:pPr>
        <w:topLinePunct/>
        <w:spacing w:line="600" w:lineRule="exact"/>
        <w:ind w:firstLine="640" w:firstLineChars="200"/>
        <w:rPr>
          <w:rFonts w:ascii="黑体" w:eastAsia="黑体"/>
          <w:sz w:val="32"/>
          <w:szCs w:val="32"/>
        </w:rPr>
      </w:pPr>
      <w:r>
        <w:rPr>
          <w:rFonts w:hint="eastAsia" w:ascii="黑体" w:eastAsia="黑体"/>
          <w:sz w:val="32"/>
          <w:szCs w:val="32"/>
        </w:rPr>
        <w:t>一、项目基本情况</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（一）项目概况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8月21日，习近平总书记在全国宣传思想工作会议上指出：“要扎实抓好县级融媒体中心建设，更好引导群众、服务群众。”按照中央、省、市相关部署要求，昆明市把加强县级融媒体中心建设作为落实意识形态工作责任制的重要内容，按照中宣部“一张网、一体化、一盘棋”的思路,科学部署、全面推进。于此背景，受昆明市委宣传部委托，昆明报业传媒集团启动自主研发昆明市县级融媒体中心省级技术平台（以下简称“技术平台”）。</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昆明报业传媒集团严格按照各级规章制度认真开展预算执行和绩效跟踪工作，截至2021年12月，项目总体实施情况如下：</w:t>
      </w:r>
    </w:p>
    <w:p>
      <w:pPr>
        <w:numPr>
          <w:ilvl w:val="0"/>
          <w:numId w:val="3"/>
        </w:num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平台已完成建设并投入使用，系统建设由“业务流程管理系统”“新闻采编管理系统”“视频编辑传输系统”“数字媒资管理系统”“移动融媒体平台管理系统”“上级指令及数据回传系统”“综合服务管理系统”“信息枢纽管理系统”八大基础系统和“县级融媒客户端”终端构成。依托平台的大数据汇聚分析等功能，完善逐级考核体系，支撑市级宣传管理部门、县级融媒体中心、基层单位四级新闻宣传、管理和意识形态考核体系建设。加大市级和市属媒体对县级融媒体中心的业务指导、培训，探索建立科学的人才引进和培养制度，提升新闻宣传和各类新媒体运营业务水平。</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（2）在技术平台的支撑下，昆明市18个县（区)级融媒体中心全部挂牌并上线运营，各县（区）级融媒体客户端同步推出。现已形成功能完善、横向融合、纵向融通的全市融媒体一体化发展格局。</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（3）依托平台大数据汇聚分析等功能，完善逐级考核体系，接入省级平台，支撑市级宣传管理部门、县级融媒体中心、基层单位四级新闻宣传、管理和意识形态考核体系建设。</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3.资金来源及使用情况。</w:t>
      </w:r>
    </w:p>
    <w:p>
      <w:pPr>
        <w:topLinePunct/>
        <w:spacing w:line="600" w:lineRule="exact"/>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中央专项补助130万元，全年执行数129.75万元。项目完成率99.81%，</w:t>
      </w:r>
      <w:r>
        <w:rPr>
          <w:rFonts w:hint="eastAsia" w:ascii="仿宋_GB2312" w:hAnsi="仿宋_GB2312" w:eastAsia="仿宋_GB2312" w:cs="仿宋_GB2312"/>
          <w:color w:val="000000"/>
          <w:sz w:val="32"/>
          <w:szCs w:val="32"/>
        </w:rPr>
        <w:t>基本达到预期目标</w:t>
      </w:r>
      <w:r>
        <w:rPr>
          <w:rFonts w:hint="eastAsia" w:ascii="仿宋_GB2312" w:hAnsi="仿宋_GB2312" w:eastAsia="仿宋_GB2312" w:cs="仿宋_GB2312"/>
          <w:color w:val="0D0D0D"/>
          <w:sz w:val="32"/>
          <w:szCs w:val="32"/>
        </w:rPr>
        <w:t>。</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（二）绩效目标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1.年度总体目标。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推进云南省县级融媒体中心建设，将县级融媒体中心建成主流舆论阵地、综合服务平台、社区信息枢纽，更好发挥县级融媒体中心基层宣传维文化阵地作用，促进基层宣传工作更好服务党委和政府中心工作，提高县级媒体传播力、引导力、影响力，更好引导群众、服务群众。</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2.绩效指标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绩效指标包括产出指标（数量、质量、时效）、效益指标（社会效益）、满意度指标（服务对象满意度）。</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产出指标（</w:t>
      </w:r>
      <w:r>
        <w:rPr>
          <w:rFonts w:hint="eastAsia" w:ascii="仿宋_GB2312" w:hAnsi="仿宋_GB2312" w:eastAsia="仿宋_GB2312" w:cs="仿宋_GB2312"/>
          <w:color w:val="000000"/>
          <w:sz w:val="32"/>
          <w:szCs w:val="32"/>
        </w:rPr>
        <w:t>数量指标）：完成昆明市省级技术平台建设数量1个，目前已建成并投入使用。</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产出指标（质量</w:t>
      </w:r>
      <w:r>
        <w:rPr>
          <w:rFonts w:hint="eastAsia" w:ascii="仿宋_GB2312" w:hAnsi="仿宋_GB2312" w:eastAsia="仿宋_GB2312" w:cs="仿宋_GB2312"/>
          <w:color w:val="000000"/>
          <w:sz w:val="32"/>
          <w:szCs w:val="32"/>
        </w:rPr>
        <w:t>指标）：地方县域重大事件县级融媒体中心首报率大于等于70%；按“云南省县级融媒体中心省级验收评分表”进行考核打分大于等于80分。</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产出指标（时效</w:t>
      </w:r>
      <w:r>
        <w:rPr>
          <w:rFonts w:hint="eastAsia" w:ascii="仿宋_GB2312" w:hAnsi="仿宋_GB2312" w:eastAsia="仿宋_GB2312" w:cs="仿宋_GB2312"/>
          <w:color w:val="000000"/>
          <w:sz w:val="32"/>
          <w:szCs w:val="32"/>
        </w:rPr>
        <w:t xml:space="preserve">指标）：按照计划于2021年9月30日前已完成；于2021年12月31日前完成技术平台单位整改工作。  </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（4）效益指标（社会效益指标）：在县级融媒体中心有效促进基础宣传工作、更好服务党委政府中心工作、更好服务群众生产生活等方面，效果显著提升。</w:t>
      </w:r>
    </w:p>
    <w:p>
      <w:pPr>
        <w:topLinePunct/>
        <w:spacing w:line="600" w:lineRule="exact"/>
        <w:ind w:firstLine="640" w:firstLineChars="200"/>
        <w:rPr>
          <w:rFonts w:ascii="仿宋" w:hAnsi="仿宋" w:eastAsia="仿宋" w:cs="仿宋"/>
          <w:color w:val="000000"/>
          <w:sz w:val="32"/>
          <w:szCs w:val="32"/>
        </w:rPr>
      </w:pPr>
      <w:r>
        <w:rPr>
          <w:rFonts w:hint="eastAsia" w:ascii="仿宋_GB2312" w:hAnsi="仿宋_GB2312" w:eastAsia="仿宋_GB2312" w:cs="仿宋_GB2312"/>
          <w:color w:val="000000"/>
          <w:sz w:val="32"/>
          <w:szCs w:val="32"/>
        </w:rPr>
        <w:t>（5）满意度指标（服务对象满意度指标）：本地群众和县区融媒体中心满意度均大于等于80%。</w:t>
      </w:r>
    </w:p>
    <w:p>
      <w:pPr>
        <w:topLinePunct/>
        <w:spacing w:line="600" w:lineRule="exact"/>
        <w:ind w:firstLine="800" w:firstLineChars="250"/>
        <w:rPr>
          <w:rFonts w:ascii="黑体" w:hAnsi="黑体" w:eastAsia="黑体"/>
          <w:sz w:val="32"/>
          <w:szCs w:val="32"/>
        </w:rPr>
      </w:pPr>
      <w:r>
        <w:rPr>
          <w:rFonts w:hint="eastAsia" w:ascii="黑体" w:hAnsi="黑体" w:eastAsia="黑体"/>
          <w:sz w:val="32"/>
          <w:szCs w:val="32"/>
        </w:rPr>
        <w:t>二、绩效评价工作情况</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w:t>
      </w:r>
    </w:p>
    <w:p>
      <w:pPr>
        <w:topLinePunct/>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（二）绩效评价工作方案制定过程</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1.前期调研。</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加快推进县级融媒体中心技术平台建设的通知》《县级融媒体中心建设规范》《县级融媒体中心省级技术平台规范要求》等文件规范中的要求，认真梳理、核定出项目建设经费预算开支统计表，努力做好节支和增效工作。</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2.研究文件。</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宣部和省委宣传部《关于加快推进县级融媒体中心技术平台建设的通知》有关安排，根据国家广电总局《县级融媒体中心建设规范》《县级融媒体中心省级技术平台规范要求》等文件规范中的要求，围绕集约化、差异化、本土化、社区化、品牌化的目标，充分整合技术优势，建立起全市统一、县级自主、融合报台网端为一体的融媒体平台矩阵和系统。</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3.绩效评价指标体系及工作方案的设计。</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为强化预算绩效管理结果运用，增强支出责任，优化财政资源配置，提高财政资金使用效益，推进财政科学化精细化管理，根据市财政局绩效管理相关，进行绩效评价指标体系设计。</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（三）绩效评价原则、评价方法</w:t>
      </w:r>
    </w:p>
    <w:p>
      <w:pPr>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1.绩效评价原则。包括科学规范、公开公正、绩效相关等原则。</w:t>
      </w:r>
    </w:p>
    <w:p>
      <w:pPr>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2.绩效评价方法。包括指标评价、数据采集和社会调查中所采用的方法。</w:t>
      </w:r>
    </w:p>
    <w:p>
      <w:pPr>
        <w:topLinePunct/>
        <w:spacing w:line="600" w:lineRule="exact"/>
        <w:ind w:firstLine="800" w:firstLineChars="250"/>
        <w:rPr>
          <w:rFonts w:hint="eastAsia" w:ascii="黑体" w:hAnsi="黑体" w:eastAsia="黑体"/>
          <w:sz w:val="32"/>
          <w:szCs w:val="32"/>
        </w:rPr>
      </w:pPr>
      <w:r>
        <w:rPr>
          <w:rFonts w:hint="eastAsia" w:ascii="黑体" w:hAnsi="黑体" w:eastAsia="黑体"/>
          <w:sz w:val="32"/>
          <w:szCs w:val="32"/>
        </w:rPr>
        <w:t>三、评价结论和绩效分析</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（一）评价结论</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1.评价结果</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经检查，该项目推进顺利，截至2021年末，项目运行平稳有序，昆明市18个县（区)级融媒体中心全部挂牌并上线运营，各县（区）级融媒体客户端同步推出。 </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2.主要绩效</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的下拨及使用，让昆明报业传媒集团更好发挥了党媒的作用，进一步提升昆明市委宣传部服务省委、市委中心工作的服务能力，通过机制、系统融合，形成了：对内成为昆明市委宣传部联通各级媒体的平台，通过内部管理系统实现对各级媒体的总管理；对外能通过全新的宣传平台矩阵，激发各级宣传平台、人员运用全媒体，创新宣传报道模式，传播正能量，形成统一的融媒体平台，打造大宣传矩阵，讲好昆明故事。</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（二）绩效分析</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对照项目资金使用执行率和绩效评价指标体系逐项进行分析、评价并打分。</w:t>
      </w:r>
    </w:p>
    <w:p>
      <w:pPr>
        <w:topLinePunct/>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1.预算执行率（10分）：</w:t>
      </w:r>
      <w:r>
        <w:rPr>
          <w:rFonts w:hint="eastAsia" w:ascii="仿宋_GB2312" w:hAnsi="仿宋_GB2312" w:eastAsia="仿宋_GB2312" w:cs="仿宋_GB2312"/>
          <w:color w:val="000000"/>
          <w:sz w:val="32"/>
          <w:szCs w:val="32"/>
        </w:rPr>
        <w:t>2021年度，中央补助地方公共文化</w:t>
      </w:r>
      <w:r>
        <w:rPr>
          <w:rFonts w:hint="eastAsia" w:ascii="仿宋_GB2312" w:hAnsi="仿宋_GB2312" w:eastAsia="仿宋_GB2312" w:cs="仿宋_GB2312"/>
          <w:sz w:val="32"/>
          <w:szCs w:val="32"/>
        </w:rPr>
        <w:t>服务体系建设资金（县级融媒体中心建设项目）全年预算数130万元，</w:t>
      </w:r>
      <w:r>
        <w:rPr>
          <w:rFonts w:hint="eastAsia" w:ascii="仿宋_GB2312" w:hAnsi="仿宋_GB2312" w:eastAsia="仿宋_GB2312" w:cs="仿宋_GB2312"/>
          <w:color w:val="000000"/>
          <w:sz w:val="32"/>
          <w:szCs w:val="32"/>
        </w:rPr>
        <w:t>全年执行数</w:t>
      </w:r>
      <w:r>
        <w:rPr>
          <w:rFonts w:hint="eastAsia" w:ascii="仿宋_GB2312" w:hAnsi="仿宋_GB2312" w:eastAsia="仿宋_GB2312" w:cs="仿宋_GB2312"/>
          <w:color w:val="0D0D0D"/>
          <w:sz w:val="32"/>
          <w:szCs w:val="32"/>
        </w:rPr>
        <w:t>129.75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预算执行率99.81%，基本达到预期目标，此项得9.9分。</w:t>
      </w:r>
    </w:p>
    <w:p>
      <w:pPr>
        <w:pStyle w:val="10"/>
        <w:spacing w:line="60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产出指标（50分）：分为数量指标、质量指标和时效指标三个方面。根据项目实施的实际情况，截至2021年12月，省级技术平台建设1个并投入使用，得10分；地方县域重大事件县级融媒体中心首报率大于等于70%，得10分；按“云南省县级融媒体中心省级验收评分表”进行考核打分大于等于80分，得10分；于2021年9月30日前完成考核评分，得10分；2021年12月31日前完成省级技术平台单位整改工作，此项得10分。</w:t>
      </w:r>
    </w:p>
    <w:p>
      <w:pPr>
        <w:pStyle w:val="10"/>
        <w:spacing w:line="60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社会效益指标（30分）：昆明报业传媒集团大力推进传统媒体和新兴媒体深度融合发展，着力打造全程媒体、全息媒体、全员媒体、全效媒体，市县（区）两级各类媒体的传播力、引导力、影响力、公信力明显增强。在有效促进基础宣传工作、更好服务党委政府中心工作、更好服务群众生产生活方面，效果显著提升，此项得30分。</w:t>
      </w:r>
    </w:p>
    <w:p>
      <w:pPr>
        <w:topLinePunct/>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4.服务对象满意度指标（10分）：</w:t>
      </w:r>
      <w:r>
        <w:rPr>
          <w:rFonts w:hint="eastAsia" w:ascii="仿宋_GB2312" w:hAnsi="仿宋_GB2312" w:eastAsia="仿宋_GB2312" w:cs="仿宋_GB2312"/>
          <w:color w:val="000000"/>
          <w:sz w:val="32"/>
          <w:szCs w:val="32"/>
        </w:rPr>
        <w:t>本地群众和县区融媒体中心满意度均大于等于80%，此项得10分。</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项目总得分99.9分。</w:t>
      </w:r>
    </w:p>
    <w:p>
      <w:pPr>
        <w:pStyle w:val="10"/>
        <w:topLinePunct/>
        <w:spacing w:line="600" w:lineRule="exact"/>
        <w:ind w:firstLine="640"/>
        <w:jc w:val="both"/>
        <w:rPr>
          <w:rFonts w:ascii="仿宋_GB2312" w:hAnsi="仿宋" w:eastAsia="仿宋_GB2312"/>
          <w:sz w:val="32"/>
          <w:szCs w:val="32"/>
          <w:lang w:eastAsia="zh-CN"/>
        </w:rPr>
      </w:pPr>
      <w:r>
        <w:rPr>
          <w:rFonts w:hint="eastAsia" w:ascii="黑体" w:hAnsi="黑体" w:eastAsia="黑体"/>
          <w:sz w:val="32"/>
          <w:szCs w:val="32"/>
          <w:lang w:eastAsia="zh-CN"/>
        </w:rPr>
        <w:t>四、主要经验及做法、存在的问题和建议</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（一）主要经验及做法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构建“预算绩效有评估、预算编制有目标、预算执行有监控、预算完成有评价、评价结果有反馈、反馈结果有应用”的“全过程”绩效管理。开展支出预算事前绩效评估，进行重点项目绩效目标跟踪监控和事后评价，才能紧密围绕项目绩效管理推进各项工作开展。</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（二）存在的问题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对绩效评价专业能力有待进一步加强。</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（三）建议和下一步改进措施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2022年，昆明报业传媒集团将按照财政预算安排编制项目支出绩效目标，科学有序地进行绩效测算，同时进一步加强项目管理，积极与市级相关部门对接，牢固树立绩效管理理念。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好技术平台支撑作用，坚持以内容建设为根本、先进技术为支撑、创新管理为保障，推进省-州（市）-县全媒体传播体系建设，推动传播手段创新，做大做强主流舆论，更好凝聚思想共识，为云南省和昆明市经济社会发展营造良好舆论氛围。</w:t>
      </w:r>
    </w:p>
    <w:p>
      <w:pPr>
        <w:pStyle w:val="9"/>
        <w:keepNext/>
        <w:keepLines/>
        <w:spacing w:after="0" w:line="600" w:lineRule="exact"/>
        <w:jc w:val="both"/>
        <w:rPr>
          <w:rFonts w:ascii="楷体_GB2312" w:eastAsia="楷体_GB2312"/>
          <w:sz w:val="32"/>
          <w:szCs w:val="32"/>
          <w:lang w:eastAsia="zh-CN"/>
        </w:rPr>
      </w:pPr>
      <w:r>
        <w:rPr>
          <w:rFonts w:hint="eastAsia" w:ascii="楷体_GB2312" w:hAnsi="Times New Roman" w:eastAsia="楷体_GB2312"/>
          <w:sz w:val="32"/>
          <w:szCs w:val="32"/>
        </w:rPr>
        <w:t>项目</w:t>
      </w:r>
      <w:r>
        <w:rPr>
          <w:rFonts w:hint="eastAsia" w:ascii="楷体_GB2312" w:eastAsia="楷体_GB2312"/>
          <w:sz w:val="32"/>
          <w:szCs w:val="32"/>
          <w:lang w:eastAsia="zh-CN"/>
        </w:rPr>
        <w:t>七：</w:t>
      </w:r>
    </w:p>
    <w:p>
      <w:pPr>
        <w:pStyle w:val="9"/>
        <w:keepNext/>
        <w:keepLines/>
        <w:spacing w:after="0" w:line="600" w:lineRule="exact"/>
        <w:rPr>
          <w:rFonts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2021年省级财政支持县级融媒体中心建设</w:t>
      </w:r>
    </w:p>
    <w:p>
      <w:pPr>
        <w:pStyle w:val="9"/>
        <w:keepNext/>
        <w:keepLines/>
        <w:spacing w:after="0" w:line="600" w:lineRule="exact"/>
        <w:rPr>
          <w:rFonts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专项资金（县级融媒体中心建设项目）</w:t>
      </w:r>
    </w:p>
    <w:p>
      <w:pPr>
        <w:pStyle w:val="9"/>
        <w:keepNext/>
        <w:keepLines/>
        <w:spacing w:after="0" w:line="600" w:lineRule="exact"/>
        <w:rPr>
          <w:rFonts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转移支付2021年度绩效自评报告</w:t>
      </w:r>
    </w:p>
    <w:p>
      <w:pPr>
        <w:topLinePunct/>
        <w:spacing w:line="600" w:lineRule="exact"/>
        <w:ind w:firstLine="640" w:firstLineChars="200"/>
        <w:rPr>
          <w:rFonts w:hint="eastAsia" w:ascii="黑体" w:eastAsia="黑体"/>
          <w:sz w:val="32"/>
          <w:szCs w:val="32"/>
        </w:rPr>
      </w:pPr>
    </w:p>
    <w:p>
      <w:pPr>
        <w:topLinePunct/>
        <w:spacing w:line="600" w:lineRule="exact"/>
        <w:ind w:firstLine="640" w:firstLineChars="200"/>
        <w:rPr>
          <w:rFonts w:ascii="黑体" w:eastAsia="黑体"/>
          <w:sz w:val="32"/>
          <w:szCs w:val="32"/>
        </w:rPr>
      </w:pPr>
      <w:r>
        <w:rPr>
          <w:rFonts w:hint="eastAsia" w:ascii="黑体" w:eastAsia="黑体"/>
          <w:sz w:val="32"/>
          <w:szCs w:val="32"/>
        </w:rPr>
        <w:t>一、项目基本情况</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（一）项目概况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8月21日，习近平总书记在全国宣传思想工作会议上指出：“要扎实抓好县级融媒体中心建设，更好引导群众、服务群众。”按照中央、省、市相关部署要求，昆明市把加强县级融媒体中心建设作为落实意识形态工作责任制的重要内容，按照中宣部“一张网、一体化、一盘棋”的思路,科学部署、全面推进。于此背景，受昆明市委宣传部委托，昆明报业传媒集团启动自主研发昆明市县级融媒体中心省级技术平台（以下简称“技术平台”）。</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2.项目实施情况。</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昆明报业传媒集团严格按照各级规章制度认真开展预算执行和绩效跟踪工作，截至2021年12月，项目总体实施情况如下：</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技术平台已完成建设并投入使用，系统建设由“业务流程管理系统”“新闻采编管理系统”“视频编辑传输系统”“数字媒资管理系统”“移动融媒体平台管理系统”“上级指令及数据回传系统”“综合服务管理系统”“信息枢纽管理系统”八大基础系统和“县级融媒客户端”终端构成。依托平台的大数据汇聚分析等功能，完善逐级考核体系，支撑市级宣传管理部门、县级融媒体中心、基层单位四级新闻宣传、管理和意识形态考核体系建设。加大市级和市属媒体对县级融媒体中心的业务指导、培训，探索建立科学的人才引进和培养制度，提升新闻宣传和各类新媒体运营业务水平。</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（2）在技术平台的支撑下，昆明市18个县（区)级融媒体中心全部挂牌并上线运营，各县（区）级融媒体客户端同步推出。现已形成功能完善、横向融合、纵向融通的全市融媒体一体化发展格局。</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（3）依托平台大数据汇聚分析等功能，完善逐级考核体系，接入省级平台，支撑市级宣传管理部门、县级融媒体中心、基层单位四级新闻宣传、管理和意识形态考核体系建设。</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3.资金来源及使用情况。</w:t>
      </w:r>
    </w:p>
    <w:p>
      <w:pPr>
        <w:topLinePunct/>
        <w:spacing w:line="600" w:lineRule="exact"/>
        <w:ind w:firstLine="640" w:firstLineChars="200"/>
        <w:rPr>
          <w:rFonts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rPr>
        <w:t>省级财政专项补助110万元，全年执行数109.28万元。项目完成率99.35%，</w:t>
      </w:r>
      <w:r>
        <w:rPr>
          <w:rFonts w:hint="eastAsia" w:ascii="仿宋_GB2312" w:hAnsi="仿宋_GB2312" w:eastAsia="仿宋_GB2312" w:cs="仿宋_GB2312"/>
          <w:color w:val="000000"/>
          <w:sz w:val="32"/>
          <w:szCs w:val="32"/>
        </w:rPr>
        <w:t>基本达到预期目标</w:t>
      </w:r>
      <w:r>
        <w:rPr>
          <w:rFonts w:hint="eastAsia" w:ascii="仿宋_GB2312" w:hAnsi="仿宋_GB2312" w:eastAsia="仿宋_GB2312" w:cs="仿宋_GB2312"/>
          <w:color w:val="0D0D0D"/>
          <w:sz w:val="32"/>
          <w:szCs w:val="32"/>
        </w:rPr>
        <w:t>。</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（二）绩效目标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1.年度总体目标。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推进云南省县级融媒体中心建设，将县级融媒体中心建成主流舆论阵地、综合服务平台、社区信息枢纽，更好发挥县级融媒体中心基层宣传维文化阵地作用，促进基层宣传工作更好服务党委和政府中心工作，提高县级媒体传播力、引导力、影响力，更好引导群众、服务群众。</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2.绩效指标</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绩效指标包括产出指标（数量、质量、时效）、效益指标（社会效益 ）、满意度指标（服务对象满意度）。</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产出指标（</w:t>
      </w:r>
      <w:r>
        <w:rPr>
          <w:rFonts w:hint="eastAsia" w:ascii="仿宋_GB2312" w:hAnsi="仿宋_GB2312" w:eastAsia="仿宋_GB2312" w:cs="仿宋_GB2312"/>
          <w:color w:val="000000"/>
          <w:sz w:val="32"/>
          <w:szCs w:val="32"/>
        </w:rPr>
        <w:t>数量指标）：提升昆明报业传媒集团技术平台运行能力1个（项），目前已建成并投入使用。</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产出指标（质量</w:t>
      </w:r>
      <w:r>
        <w:rPr>
          <w:rFonts w:hint="eastAsia" w:ascii="仿宋_GB2312" w:hAnsi="仿宋_GB2312" w:eastAsia="仿宋_GB2312" w:cs="仿宋_GB2312"/>
          <w:color w:val="000000"/>
          <w:sz w:val="32"/>
          <w:szCs w:val="32"/>
        </w:rPr>
        <w:t>指标）：地方县域重大事件县级融媒体中心首报率大于等于70%；按“云南省县级融媒体中心省级验收评分表”进行考核打分大于等于80分。</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产出指标（时效</w:t>
      </w:r>
      <w:r>
        <w:rPr>
          <w:rFonts w:hint="eastAsia" w:ascii="仿宋_GB2312" w:hAnsi="仿宋_GB2312" w:eastAsia="仿宋_GB2312" w:cs="仿宋_GB2312"/>
          <w:color w:val="000000"/>
          <w:sz w:val="32"/>
          <w:szCs w:val="32"/>
        </w:rPr>
        <w:t>指标）：按照计划于2021年11月30日前提升技术平台运行效果。</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（4）效益指标（社会效益指标）：在县级融媒体中心有效促进基础宣传工作、更好服务党委政府中心工作、更好服务群众生产生活等方面，效果显著提升。</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（5）满意度指标（服务对象满意度指标）：本地群众和县区融媒体中心满意度均大于等于80%。</w:t>
      </w:r>
    </w:p>
    <w:p>
      <w:pPr>
        <w:topLinePunct/>
        <w:spacing w:line="600" w:lineRule="exact"/>
        <w:ind w:firstLine="640" w:firstLineChars="200"/>
        <w:rPr>
          <w:rFonts w:ascii="黑体" w:eastAsia="黑体"/>
          <w:sz w:val="32"/>
          <w:szCs w:val="32"/>
        </w:rPr>
      </w:pPr>
      <w:r>
        <w:rPr>
          <w:rFonts w:hint="eastAsia" w:ascii="黑体" w:eastAsia="黑体"/>
          <w:sz w:val="32"/>
          <w:szCs w:val="32"/>
        </w:rPr>
        <w:t>二、绩效评价工作情况</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w:t>
      </w:r>
    </w:p>
    <w:p>
      <w:pPr>
        <w:topLinePunct/>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（二）绩效评价工作方案制定过程</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1.前期调研。</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加快推进县级融媒体中心技术平台建设的通知》《县级融媒体中心建设规范》《县级融媒体中心省级技术平台规范要求》等文件规范中的要求，认真梳理、核定出项目建设经费预算开支统计表，努力做好节支和增效工作。</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2.研究文件。</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宣部和省委宣传部《关于加快推进县级融媒体中心技术平台建设的通知》有关安排，根据国家广电总局《县级融媒体中心建设规范》《县级融媒体中心省级技术平台规范要求》等文件规范中的要求，围绕集约化、差异化、本土化、社区化、品牌化的目标，充分整合技术优势，建立起全市统一、县级自主、融合报台网端为一体的融媒体平台矩阵和系统。</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3.绩效评价指标体系及工作方案的设计。</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为强化预算绩效管理结果运用，增强支出责任，优化财政资源配置，提高财政资金使用效益，推进财政科学化精细化管理，根据市财政局绩效管理相关，进行绩效评价指标体系设计。</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（三）绩效评价原则、评价方法</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1.绩效评价原则。包括科学规范、公开公正、绩效相关等原则。</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2.绩效评价方法。包括指标评价、数据采集和社会调查中所采用的方法。</w:t>
      </w:r>
    </w:p>
    <w:p>
      <w:pPr>
        <w:topLinePunct/>
        <w:spacing w:line="600" w:lineRule="exact"/>
        <w:ind w:firstLine="640" w:firstLineChars="200"/>
        <w:rPr>
          <w:rFonts w:ascii="黑体" w:eastAsia="黑体"/>
          <w:sz w:val="32"/>
          <w:szCs w:val="32"/>
        </w:rPr>
      </w:pPr>
      <w:r>
        <w:rPr>
          <w:rFonts w:hint="eastAsia" w:ascii="黑体" w:eastAsia="黑体"/>
          <w:sz w:val="32"/>
          <w:szCs w:val="32"/>
        </w:rPr>
        <w:t>三、评价结论和绩效分</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（一）评价结论</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1.评价结果。</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经检查，该项目推进顺利，评价人员于2021年初检查该项目时，项目运行平稳有序，昆明市18个县（区)级融媒体中心全部挂牌并上线运营，各县（区）级融媒体客户端同步推出。 </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2.主要绩效。</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的下拨及使用，让昆明报业传媒集团更好发挥了党媒的作用，进一步提升昆明市委宣传部服务省委、市委中心工作的服务能力，通过机制、系统融合，形成了：对内成为昆明市委宣传部联通各级媒体的平台，通过内部管理系统实现对各级媒体的总管理；对外能通过全新的宣传平台矩阵，激发各级宣传平台、人员运用全媒体，创新宣传报道模式，传播正能量，形成统一的融媒体平台，打造大宣传矩阵，讲好昆明故事。</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（二）绩效分析</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对照项目资金使用执行率和绩效评价指标体系逐项进行分析、评价并打分。</w:t>
      </w:r>
    </w:p>
    <w:p>
      <w:pPr>
        <w:topLinePunct/>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1.预算执行率（10分）：</w:t>
      </w:r>
      <w:r>
        <w:rPr>
          <w:rFonts w:hint="eastAsia" w:ascii="仿宋_GB2312" w:hAnsi="仿宋_GB2312" w:eastAsia="仿宋_GB2312" w:cs="仿宋_GB2312"/>
          <w:color w:val="000000"/>
          <w:sz w:val="32"/>
          <w:szCs w:val="32"/>
        </w:rPr>
        <w:t>2021年度，省级财政支持县级融媒体中心建设专项资金（县级融媒体中心建设项目）全年预算数110万元，全年执行数109.28万元，预算执行率99.35%，基本达到预期目标，此项得9.9分。</w:t>
      </w:r>
    </w:p>
    <w:p>
      <w:pPr>
        <w:pStyle w:val="10"/>
        <w:spacing w:line="60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产出指标（50分）：分为数量指标、质量指标和时效指标三个方面。根据项目实施的实际情况，截至2021年12月，省级技术平台建设提升1个（项）并投入使用，得20分；地方县域重大事件县级融媒体中心首报率大于等于70%，得10分；按“云南省县级融媒体中心省级验收评分表”进行考核打分大于等于80分，得10分；于2021年11月30日前完成提升技术平台运行效果，得10分。</w:t>
      </w:r>
    </w:p>
    <w:p>
      <w:pPr>
        <w:pStyle w:val="10"/>
        <w:spacing w:line="600" w:lineRule="exact"/>
        <w:ind w:firstLine="64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社会效益指标（30分）：昆明报业传媒集团大力推进传统媒体和新兴媒体深度融合发展，着力打造全程媒体、全息媒体、全员媒体、全效媒体，市县（区）两级各类媒体的传播力、引导力、影响力、公信力明显增强。为此，在有效促进基础宣传工作、更好服务党委政府中心工作、更好服务群众生产生活方面，效果显著提升，此项得30分。</w:t>
      </w:r>
    </w:p>
    <w:p>
      <w:pPr>
        <w:topLinePunct/>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4.服务对象满意度指标（10分）：</w:t>
      </w:r>
      <w:r>
        <w:rPr>
          <w:rFonts w:hint="eastAsia" w:ascii="仿宋_GB2312" w:hAnsi="仿宋_GB2312" w:eastAsia="仿宋_GB2312" w:cs="仿宋_GB2312"/>
          <w:color w:val="000000"/>
          <w:sz w:val="32"/>
          <w:szCs w:val="32"/>
        </w:rPr>
        <w:t>本地群众和县区融媒体中心满意度均大于等于80%，此项得10分。</w:t>
      </w:r>
    </w:p>
    <w:p>
      <w:pPr>
        <w:topLinePunct/>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项目总得分99.9分。</w:t>
      </w:r>
    </w:p>
    <w:p>
      <w:pPr>
        <w:pStyle w:val="10"/>
        <w:topLinePunct/>
        <w:spacing w:line="600" w:lineRule="exact"/>
        <w:ind w:firstLine="640"/>
        <w:jc w:val="both"/>
        <w:rPr>
          <w:rFonts w:ascii="仿宋_GB2312" w:hAnsi="仿宋_GB2312" w:eastAsia="仿宋_GB2312" w:cs="仿宋_GB2312"/>
          <w:sz w:val="32"/>
          <w:szCs w:val="32"/>
          <w:lang w:eastAsia="zh-CN"/>
        </w:rPr>
      </w:pPr>
      <w:r>
        <w:rPr>
          <w:rFonts w:hint="eastAsia" w:ascii="黑体" w:eastAsia="黑体"/>
          <w:sz w:val="32"/>
          <w:szCs w:val="32"/>
          <w:lang w:eastAsia="zh-CN"/>
        </w:rPr>
        <w:t>四、主要经验及做法、存在的问题和建议</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（一）主要经验及做法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构建“预算绩效有评估、预算编制有目标、预算执行有监控、预算完成有评价、评价结果有反馈、反馈结果有应用”的“全过程”绩效管理。开展支出预算事前绩效评估，进行重点项目绩效目标跟踪监控和事后评价，才能紧密围绕项目绩效管理推进各项工作开展。</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（二）存在的问题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对绩效评价认知不足，专业能力有待进一步加强。</w:t>
      </w:r>
    </w:p>
    <w:p>
      <w:pPr>
        <w:spacing w:line="600" w:lineRule="exact"/>
        <w:ind w:firstLine="640" w:firstLineChars="2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（三）建议和下一步改进措施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2022年，昆明报业传媒集团将按照财政预算安排编制项目支出绩效目标，科学有序地进行绩效测算，同时进一步加强项目管理，积极与市级相关部门对接，牢固树立绩效管理理念。</w:t>
      </w:r>
    </w:p>
    <w:p>
      <w:pPr>
        <w:spacing w:line="600" w:lineRule="exact"/>
        <w:ind w:firstLine="640" w:firstLineChars="200"/>
        <w:rPr>
          <w:rFonts w:ascii="仿宋_GB2312" w:hAnsi="仿宋_GB2312" w:eastAsia="仿宋_GB2312" w:cs="仿宋_GB2312"/>
          <w:sz w:val="32"/>
          <w:szCs w:val="32"/>
        </w:rPr>
        <w:sectPr>
          <w:footerReference r:id="rId3" w:type="default"/>
          <w:footerReference r:id="rId4" w:type="even"/>
          <w:pgSz w:w="11900" w:h="16840"/>
          <w:pgMar w:top="2041" w:right="1474" w:bottom="2041" w:left="1474" w:header="0" w:footer="3" w:gutter="0"/>
          <w:pgNumType w:start="1"/>
          <w:cols w:space="720" w:num="1"/>
          <w:docGrid w:linePitch="360" w:charSpace="0"/>
        </w:sectPr>
      </w:pPr>
      <w:r>
        <w:rPr>
          <w:rFonts w:hint="eastAsia" w:ascii="仿宋_GB2312" w:hAnsi="仿宋_GB2312" w:eastAsia="仿宋_GB2312" w:cs="仿宋_GB2312"/>
          <w:sz w:val="32"/>
          <w:szCs w:val="32"/>
        </w:rPr>
        <w:t>发挥好技术平台支撑作用，坚持以内容建设为根本、先进技术为支撑、创新管理为保障，推进省-州（市）-县全媒体传播体系建设，推动传播手段创新，做大做强主流舆论，更好凝聚思想共识，为云南省和昆明市经济社会发展营造良好舆论氛围。</w:t>
      </w:r>
    </w:p>
    <w:p>
      <w:pPr>
        <w:pStyle w:val="9"/>
        <w:keepNext/>
        <w:keepLines/>
        <w:spacing w:after="0" w:line="600" w:lineRule="exact"/>
        <w:jc w:val="both"/>
        <w:rPr>
          <w:rFonts w:ascii="楷体_GB2312" w:eastAsia="楷体_GB2312"/>
          <w:sz w:val="32"/>
          <w:szCs w:val="32"/>
          <w:lang w:eastAsia="zh-CN"/>
        </w:rPr>
      </w:pPr>
      <w:r>
        <w:rPr>
          <w:rFonts w:hint="eastAsia" w:ascii="楷体_GB2312" w:hAnsi="Times New Roman" w:eastAsia="楷体_GB2312"/>
          <w:sz w:val="32"/>
          <w:szCs w:val="32"/>
        </w:rPr>
        <w:t>项目</w:t>
      </w:r>
      <w:r>
        <w:rPr>
          <w:rFonts w:hint="eastAsia" w:ascii="楷体_GB2312" w:eastAsia="楷体_GB2312"/>
          <w:sz w:val="32"/>
          <w:szCs w:val="32"/>
          <w:lang w:eastAsia="zh-CN"/>
        </w:rPr>
        <w:t>八：</w:t>
      </w:r>
    </w:p>
    <w:p>
      <w:pPr>
        <w:pStyle w:val="9"/>
        <w:keepNext/>
        <w:keepLines/>
        <w:spacing w:after="0" w:line="600" w:lineRule="exact"/>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编撰出版书籍《故事里的昆明》</w:t>
      </w:r>
    </w:p>
    <w:p>
      <w:pPr>
        <w:pStyle w:val="9"/>
        <w:keepNext/>
        <w:keepLines/>
        <w:spacing w:after="0" w:line="600" w:lineRule="exact"/>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项目支出绩效自评报告</w:t>
      </w:r>
    </w:p>
    <w:p>
      <w:pPr>
        <w:pStyle w:val="9"/>
        <w:keepNext/>
        <w:keepLines/>
        <w:spacing w:after="0" w:line="600" w:lineRule="exact"/>
        <w:rPr>
          <w:rFonts w:hint="eastAsia" w:ascii="方正小标宋简体" w:hAnsi="方正小标宋简体" w:eastAsia="方正小标宋简体" w:cs="方正小标宋简体"/>
          <w:kern w:val="2"/>
          <w:sz w:val="44"/>
          <w:szCs w:val="44"/>
          <w:lang w:val="en-US" w:eastAsia="zh-CN" w:bidi="ar-SA"/>
        </w:rPr>
      </w:pPr>
    </w:p>
    <w:p>
      <w:pPr>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2021年是“十四五”规划开局之年，是建党100周年，是“两个一百年”奋斗目标的历史交汇点，是中华民族实现伟大复兴“中国梦”的征程中具有里程碑意义的年份。为了记录昆明这段历史的创造者、参与者、见证者，由中共昆明市委宣传部牵头、联合昆明市文联、昆明报业传媒集团联合编辑出版文学丛书《故事里的昆明》，通过实地调查采访采风、文学创作、艺术加工，以通俗易懂、深入浅出的方式全方位挖掘昆明故事，树立情感认同，激发全市广大干部群众热爱昆明、建设昆明的巨大热情，塑造和展示昆明的良好形象。现就该项目资金自评报告如下：</w:t>
      </w:r>
    </w:p>
    <w:p>
      <w:pPr>
        <w:pStyle w:val="2"/>
        <w:spacing w:before="0" w:after="0" w:line="600" w:lineRule="exact"/>
        <w:ind w:firstLine="640" w:firstLineChars="200"/>
        <w:rPr>
          <w:rFonts w:hint="eastAsia" w:ascii="黑体" w:hAnsi="Times New Roman" w:eastAsia="黑体"/>
          <w:b w:val="0"/>
          <w:bCs w:val="0"/>
          <w:color w:val="000000"/>
          <w:kern w:val="0"/>
          <w:lang w:bidi="en-US"/>
        </w:rPr>
      </w:pPr>
      <w:r>
        <w:rPr>
          <w:rFonts w:hint="eastAsia" w:ascii="黑体" w:hAnsi="Times New Roman" w:eastAsia="黑体"/>
          <w:b w:val="0"/>
          <w:bCs w:val="0"/>
          <w:color w:val="000000"/>
          <w:kern w:val="0"/>
          <w:lang w:bidi="en-US"/>
        </w:rPr>
        <w:t>一、 项目基本情况</w:t>
      </w:r>
      <w:r>
        <w:rPr>
          <w:rFonts w:hint="eastAsia" w:ascii="黑体" w:hAnsi="Times New Roman" w:eastAsia="黑体"/>
          <w:b w:val="0"/>
          <w:bCs w:val="0"/>
          <w:color w:val="000000"/>
          <w:kern w:val="0"/>
          <w:lang w:bidi="en-US"/>
        </w:rPr>
        <w:tab/>
      </w:r>
      <w:r>
        <w:rPr>
          <w:rFonts w:hint="eastAsia" w:ascii="黑体" w:hAnsi="Times New Roman" w:eastAsia="黑体"/>
          <w:b w:val="0"/>
          <w:bCs w:val="0"/>
          <w:color w:val="000000"/>
          <w:kern w:val="0"/>
          <w:lang w:bidi="en-US"/>
        </w:rPr>
        <w:t xml:space="preserve"> </w:t>
      </w:r>
    </w:p>
    <w:p>
      <w:pPr>
        <w:pStyle w:val="3"/>
        <w:spacing w:before="0" w:after="0" w:line="600" w:lineRule="exact"/>
        <w:ind w:firstLine="640" w:firstLineChars="200"/>
        <w:rPr>
          <w:rFonts w:hint="eastAsia" w:ascii="楷体" w:hAnsi="楷体" w:eastAsia="楷体" w:cs="楷体"/>
          <w:b w:val="0"/>
          <w:bCs w:val="0"/>
        </w:rPr>
      </w:pPr>
      <w:r>
        <w:rPr>
          <w:rFonts w:hint="eastAsia" w:ascii="楷体" w:hAnsi="楷体" w:eastAsia="楷体" w:cs="楷体"/>
          <w:b w:val="0"/>
          <w:bCs w:val="0"/>
        </w:rPr>
        <w:t>（一）项目概况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时任省委常委、昆明市委书记程连元在听取全国宣传部长会议、全省宣传思想工作会议精神和我市贯彻落实意见汇报时的重要指示精神，由宣传部牵头专门组织一批本土作家，分类梳理各种各样宣传昆明的故事，尤其是面向新的人群，运用新媒体做好宣传工作。首先，得有作家来编这些故事，把生活中活生生的故事梳理出来，然后编写形成各个领域的昆明故事。其中，包括历史上的红色故事，近些年我们创造的滇池治理当中的真人真事真故事，脱贫攻坚当中涌现出来的动人故事、抗击新冠肺炎疫情中的感人故事，还有昆明优秀的人民教师、医务工作者，包括本土的中医的故事，还有民间文化传播者的故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昆明是国务院首批公布的24个国家历史文化名城之一，历史悠久、人文璀璨，血脉中流淌着文化的基因，是马可波罗笔下的“壮丽大城”；昆明也是一座有着光荣革命传统的英雄城市。昆明的红色历史，记录着中国共产党在昆明的重要事件、重要活动和发展进程；昆明还是一座丰富多彩的生物多样性宝库，呈现出人与自然和谐共生之路，奏响全球可持续发展交响乐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故事里的昆明》由昆明市委宣传部牵头主办，昆明市文联、昆明报业传媒集团联合承办，都市时报、昆明作家协会编辑出版，通过实地调查采访采风、文学创作、艺术加工，以通俗易懂、深入浅出的方式全方位挖掘昆明故事，讲好昆明故事，传播昆明故事，让读者从中汲取历史文化滋养，获得奋进的力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故事里的昆明》分为10个部分，向读者展现了昆明的历史人文故事、党史里的红色故事、生态文明故事、生物多样性故事、脱贫攻坚故事、抗击疫情故事、教书育人故事、山水胜景故事、文化传承故事、地道美食故事等。在这本书里，读者可以探索古滇文明的起源于与发展、感受护国运动的波澜壮阔、回顾西南联大教育救国的文化记忆；可以了解到聂耳与国歌的故事、朱德在昆明的红色传奇；认识抗疫中的英雄、在大地书写论文的“农民院士”朱有勇；还可以进一步感受乌铜走银、滇剧等非遗的魅力；更可以走近昆明的翠湖、西山睡美人；品尝昆明的小锅米线、调糕藕粉……每一个故事，原汁原味，都是解码昆明的一串钥匙；每一个故事，多姿多彩，都是记录昆明的最亮一抹底色；每一个故事，身临其境，都是打开昆明的一扇窗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100个故事采写过程中，除了面对面的采访，还要查阅史料，核实细节，做到既尊重事实，又不乏创新，前后历时9个月，采编小组成员曾因不同意见有过思想碰撞的惊喜，有过因推倒重来而出现的焦灼不安、彷徨无措，一遍遍打磨细节，一遍遍核证事实，一句句推敲用词，终于，怀着惴惴不安的心情，这本《故事里的昆明》丛书终于与读者见面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正式出版的《故事里的昆明》一书，以通俗易懂、深入浅出的方式全方位挖掘昆明故事，讲好昆明故事，传播昆明故事，从而树立情感认同，奋斗百年路，启航新征程，该书极大地激发出全市广大干部群众热爱昆明、建设昆明、干事创业的巨大热情，为奋力开创昆明高质量发展新局面，谱写区域性国际中心城市建设新篇章提供坚强思想保证和强大精神动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到目前为止，各阶段工作都如期完成，具体为：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在4月上旬——5月10日，都市时报和昆明作家协会汇总交齐了100个故事，并对部分故事进行内容修改和完善；二是5月10日—6月28日，完成了编辑校审，出清样，并于6月28日前向昆明市委党史研究室送审并通过10个党史里的红色故事；三是从7月1日—7月15日，一期按内部资料先行完成印刷了500册，并按要求分发派送至市委、市政府、市人大、市政协、昆明市文联、昆明作家协会，以及受访者；四是完成了联合出版社公开发行阶段的相关工作，从7月15日—12月15日，用5个月时间完成了向省委宣传部进行选题申报、出版合同签订、出版社编辑三审三校、排版、校对、申领书号、申领CIP、印刷发行准备等工作；五是完成了二期印刷出版阶段的相关工作，即从12月15日—12月27日，二期共印刷出版《故事里的昆明》3000册；六是在12月底公开发行上架，即从12月26日—12月31日，主要面向昆明市的新华书店、春晓书店、新知图书城、东方书店等公开发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3.资金来源及使用情况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总共收到中共昆明市委宣传部2021年市级文艺精品创作扶持专项资金55万元，全部用于编辑出版印刷发行该书籍《故事里的昆明》以及该书籍的线上线下宣传支出。自从接到该项目任务之后，昆明都市时报传媒有限公司作为项目承接方，严格按照《昆明报业传媒集团招标采购管理办法（2021年5月修订）》进行项目施工各个环节的采购招投标管理及部门预算管理，严格控制项目预算支出，确保每一分钱都用到刀刃上。由昆明都市时报传媒有限责任公司与昆明报业传媒集团（昆明日报社）签署《故事里的昆明》出版合作协议后，向昆明市委宣传部申请到的55万元资金做出周密的项目支出预算规划，对每一笔项目支出均须签署项目资金使用合同，对书籍印刷等重大资金支出一律采用公开招投标程序选择质优价格合理的供应商，对稿费、编审费、编辑费、设计费等按照集团及行业规定制定公开透明的稿费标准。按照保运转、控开支，精简节约的原则，规范使用该项目资金，确保效益最大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4.项目的组织及管理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完成该项目相关工作，都市时报成立了《故事里的昆明》编撰工作领导小组，由都市时报总编辑、昆明都市时报传媒有限责任公司总经理周宏任组长，都市时报副总编辑许建龙任副组长，制定了关于编撰书籍《故事里的昆明》的工作方案和采编大纲，并抽调了报社融媒体中心、综合新闻中心、总编室、教育行业中心、文体中心、健康行业中心的42名记者编辑组成工作团队，严格按工作方案制定的工期完成相关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项目均经过项目申报、资金拨付等流程，竞争性项目还包括合同期审查与项目验收环节。</w:t>
      </w:r>
    </w:p>
    <w:p>
      <w:pPr>
        <w:pStyle w:val="3"/>
        <w:numPr>
          <w:ilvl w:val="0"/>
          <w:numId w:val="4"/>
        </w:numPr>
        <w:spacing w:before="0" w:after="0" w:line="600" w:lineRule="exact"/>
        <w:ind w:firstLine="640" w:firstLineChars="200"/>
        <w:rPr>
          <w:rFonts w:hint="eastAsia" w:ascii="楷体" w:hAnsi="楷体" w:eastAsia="楷体" w:cs="楷体"/>
          <w:b w:val="0"/>
          <w:bCs w:val="0"/>
        </w:rPr>
      </w:pPr>
      <w:r>
        <w:rPr>
          <w:rFonts w:hint="eastAsia" w:ascii="楷体" w:hAnsi="楷体" w:eastAsia="楷体" w:cs="楷体"/>
          <w:b w:val="0"/>
          <w:bCs w:val="0"/>
        </w:rPr>
        <w:t>绩效目标</w:t>
      </w:r>
    </w:p>
    <w:p>
      <w:pPr>
        <w:spacing w:line="600" w:lineRule="exact"/>
        <w:ind w:firstLine="640" w:firstLineChars="200"/>
      </w:pPr>
      <w:r>
        <w:rPr>
          <w:rFonts w:hint="eastAsia" w:ascii="仿宋_GB2312" w:hAnsi="仿宋_GB2312" w:eastAsia="仿宋_GB2312" w:cs="仿宋_GB2312"/>
          <w:sz w:val="32"/>
          <w:szCs w:val="32"/>
        </w:rPr>
        <w:t>1.绩效目标：及时圆满完成书籍的撰写、编辑、审定、出版印刷，上市发行等工作，综合运用各类宣传媒体平台，全方位宣传书籍《故事里的昆明》中的100个故事，扩大市民知晓率和满意度，树立情感认同，凝聚人心，激发全市广大干部群众热爱昆明、建设昆明的巨大热情，塑造和展示昆明的良好形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2.项目实施计划及完成情况：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（1）撰写《故事里的昆明》100个昆明故事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此阶段，即从2021年4月上旬——5月10日，都市时报和昆明作家协会分别组成了5个撰写故事团队，共42人，由昆明作家协会主席提供故事范本，严格对照《故事里的昆明》采编大纲，按时按质按量汇总交齐了100个故事，并对部分故事进行内容修改和完善，进行编辑前的图文协调、督促采访进展、进行文稿初审修改，帮其打磨交接等项工作顺利完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（2）以内部资料形式编辑出版500册书籍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审出版共分两个阶段：一是5月10日—6月28日，完成了本书籍的大样编辑和校审工作，出清样等环节顺利完成，并于2021年6月28日前向昆明市委党史研究室送审并通过10个党史里的红色故事；三是从7月1日—7月15日，一期按内部资料（西新闻出版（2021）准印字第015号）先行完成印刷了500册，并按要求分发派送至市委、市政府、市人大、市政协、昆明市文联、昆明作家协会等单位，以及部分受访者手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（3）3000册图书公开发行出版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2021年7月15日—12月15日，用5个月时间完成了向省委宣传部进行选题申报、出版合同签订、出版社编辑三审三校、排版、校对、申领书号、申领CIP、印刷发行准备等工作；经过公开出版物申请流程，由都市时报、昆明作家协会编著，云南出版集团、云南人民出版社正式出版的《故事里的昆明》（ISBN 978-7-222-20494-2）于12月27日完成出版印刷，二期共印刷出版《故事里的昆明》3000册；与此同时，该书于12月底公开发行上架，即从2021年12月26日—12月31日，主要面向昆明市的新华书店昆明书城、春晓书店、新知图书城、东方书店等公开发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（4）100个昆明故事扩大网络阵地宣传</w:t>
      </w:r>
    </w:p>
    <w:p>
      <w:pPr>
        <w:spacing w:line="600" w:lineRule="exact"/>
        <w:ind w:firstLine="640" w:firstLineChars="200"/>
      </w:pPr>
      <w:r>
        <w:rPr>
          <w:rFonts w:hint="eastAsia" w:ascii="仿宋_GB2312" w:hAnsi="仿宋_GB2312" w:eastAsia="仿宋_GB2312" w:cs="仿宋_GB2312"/>
          <w:sz w:val="32"/>
          <w:szCs w:val="32"/>
        </w:rPr>
        <w:t>与此同时，都市时报在该项目出版周期中负责加大了《故事里的昆明》报纸宣传和网络宣传力度，为讲好昆明故事，展示昆明美好形象，奋力开启区域性国际中心城市建设新征程、夺取全面建设社会主义现代化新胜利营造了良好的舆论氛围。 从8月19日—11月10日，把《故事里的昆明》中的50个故事，刊登在了都市时报报纸上，每一个故事刊登版面为一个整版（24厘米*33厘米）；在报纸刊登昆明故事的同时，将100个故事分期分批地刊发推送至都市时报客户端上，并放至专题《故事里的昆明》之下，有关《故事里的昆明》的相关宣传报道被全网传播阅读量超过了500万人次。</w:t>
      </w:r>
    </w:p>
    <w:p>
      <w:pPr>
        <w:pStyle w:val="2"/>
        <w:spacing w:before="0" w:after="0" w:line="600" w:lineRule="exact"/>
        <w:ind w:firstLine="640" w:firstLineChars="200"/>
        <w:rPr>
          <w:rFonts w:hint="eastAsia" w:ascii="黑体" w:hAnsi="Times New Roman" w:eastAsia="黑体"/>
          <w:b w:val="0"/>
          <w:bCs w:val="0"/>
          <w:color w:val="000000"/>
          <w:kern w:val="0"/>
          <w:lang w:bidi="en-US"/>
        </w:rPr>
      </w:pPr>
      <w:r>
        <w:rPr>
          <w:rFonts w:hint="eastAsia" w:ascii="黑体" w:hAnsi="Times New Roman" w:eastAsia="黑体"/>
          <w:b w:val="0"/>
          <w:bCs w:val="0"/>
          <w:color w:val="000000"/>
          <w:kern w:val="0"/>
          <w:lang w:bidi="en-US"/>
        </w:rPr>
        <w:t>二、绩效评价工作情况</w:t>
      </w:r>
      <w:r>
        <w:rPr>
          <w:rFonts w:hint="eastAsia" w:ascii="黑体" w:hAnsi="Times New Roman" w:eastAsia="黑体"/>
          <w:b w:val="0"/>
          <w:bCs w:val="0"/>
          <w:color w:val="000000"/>
          <w:kern w:val="0"/>
          <w:lang w:bidi="en-US"/>
        </w:rPr>
        <w:tab/>
      </w:r>
      <w:r>
        <w:rPr>
          <w:rFonts w:hint="eastAsia" w:ascii="黑体" w:hAnsi="Times New Roman" w:eastAsia="黑体"/>
          <w:b w:val="0"/>
          <w:bCs w:val="0"/>
          <w:color w:val="000000"/>
          <w:kern w:val="0"/>
          <w:lang w:bidi="en-US"/>
        </w:rPr>
        <w:t xml:space="preserve"> </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(一)绩效评价的目的和依据</w:t>
      </w:r>
      <w:r>
        <w:rPr>
          <w:rFonts w:hint="eastAsia" w:ascii="楷体" w:hAnsi="楷体" w:eastAsia="楷体" w:cs="楷体"/>
          <w:sz w:val="32"/>
          <w:szCs w:val="32"/>
        </w:rPr>
        <w:tab/>
      </w:r>
      <w:r>
        <w:rPr>
          <w:rFonts w:hint="eastAsia" w:ascii="楷体" w:hAnsi="楷体" w:eastAsia="楷体" w:cs="楷体"/>
          <w:sz w:val="32"/>
          <w:szCs w:val="32"/>
        </w:rPr>
        <w:t xml:space="preserve"> </w:t>
      </w:r>
    </w:p>
    <w:p>
      <w:pPr>
        <w:spacing w:line="600" w:lineRule="exact"/>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根据《昆明市本级部门预算绩效自评管理暂行办法》的要求，通过绩效评价，运用科学、规范的绩效评价方法，客观、公正地对2021年度项目支出进行评价，以反映项目资金的绩效。通过绩效评价，树立绩效管理理念，做好预算绩效管理，提高财政资金效益，优化项目支出结构。</w:t>
      </w:r>
    </w:p>
    <w:p>
      <w:pPr>
        <w:spacing w:line="600" w:lineRule="exact"/>
        <w:ind w:firstLine="640" w:firstLineChars="200"/>
      </w:pPr>
      <w:r>
        <w:rPr>
          <w:rFonts w:hint="eastAsia" w:ascii="仿宋_GB2312" w:hAnsi="仿宋_GB2312" w:eastAsia="仿宋_GB2312" w:cs="仿宋_GB2312"/>
          <w:sz w:val="32"/>
          <w:szCs w:val="32"/>
        </w:rPr>
        <w:t>依据《昆明市本级部门预算绩效自评管理暂行办法》，严格开展绩效评价工作。</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(二)绩效评价工作方案制定过程</w:t>
      </w:r>
    </w:p>
    <w:p>
      <w:pPr>
        <w:spacing w:line="600" w:lineRule="exact"/>
        <w:ind w:firstLine="640" w:firstLineChars="200"/>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2022年3月12日，开始前期准备工作，评价组通过对评价对象前期调研，确定了评价的目的、方法以及评价的原则，根据项目的内容和特征制定了评价指标体系及评价标准，细化个性指标，修正并确定所需资料清单，开展评价工作。 </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(三)绩效评价原则、评价方法等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1.科学规范原则——注重财政支出的经济性、效率性和有效性，严格执行规定的程序，按照科学可行的要求，采用定量与定性分析相结合的方法。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2.公正公开原则——客观、公正，标准统一、数据资料真实可靠，公开并接受监督。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3.绩效相关原则——针对具体支出及其产出绩效进行，评价结果能够清晰反映支出和产出绩效之间的紧密对应关系。</w:t>
      </w:r>
    </w:p>
    <w:p>
      <w:pPr>
        <w:spacing w:line="600" w:lineRule="exact"/>
        <w:ind w:firstLine="640" w:firstLineChars="200"/>
      </w:pPr>
      <w:r>
        <w:rPr>
          <w:rFonts w:hint="eastAsia" w:ascii="仿宋_GB2312" w:hAnsi="仿宋_GB2312" w:eastAsia="仿宋_GB2312" w:cs="仿宋_GB2312"/>
          <w:sz w:val="32"/>
          <w:szCs w:val="32"/>
        </w:rPr>
        <w:t>4.项目绩效自评打分评价的形式，满分为100分。根据项指标重要程度确定项目的二级绩效指标和三级绩效指标的权重。评定方法分为两类：一是定量指标，二是定性指标。完成指标值的，即该指标所赋全部分值；未完成的，按照完成值在指标值中所占比例记分。</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(四)绩效评价实施过程</w:t>
      </w:r>
      <w:r>
        <w:rPr>
          <w:rFonts w:hint="eastAsia" w:ascii="楷体" w:hAnsi="楷体" w:eastAsia="楷体" w:cs="楷体"/>
          <w:sz w:val="32"/>
          <w:szCs w:val="32"/>
        </w:rPr>
        <w:tab/>
      </w:r>
      <w:r>
        <w:rPr>
          <w:rFonts w:hint="eastAsia" w:ascii="楷体" w:hAnsi="楷体" w:eastAsia="楷体" w:cs="楷体"/>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1.前期准备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3月12日，开始前期准备工作，评价组通过对评价对象前期调研，确定了评价的目的、方法以及评价的原则，根据项目的内容和特征制定了评价指标体系及评价标准，细化个性指标，修正并确定所需资料清单，开展评价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2022年3月22日，评价工作进入实施阶段。在数据采集方面，评价组完成基础数据收集，进行数据采集。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3.分析评价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2021年3月30日，评价组按照绩效评价的原则和规范，对资料进行审查核实，对采集的数据进行分析，按照绩效评价指标评分表逐项进行打分、分析，汇总各方评价结果，综合分析并形成评价结论。</w:t>
      </w:r>
    </w:p>
    <w:p>
      <w:pPr>
        <w:pStyle w:val="2"/>
        <w:spacing w:before="0" w:after="0" w:line="600" w:lineRule="exact"/>
        <w:ind w:firstLine="640" w:firstLineChars="200"/>
        <w:rPr>
          <w:rFonts w:hint="eastAsia" w:ascii="黑体" w:hAnsi="Times New Roman" w:eastAsia="黑体"/>
          <w:b w:val="0"/>
          <w:bCs w:val="0"/>
          <w:color w:val="000000"/>
          <w:kern w:val="0"/>
          <w:lang w:bidi="en-US"/>
        </w:rPr>
      </w:pPr>
      <w:r>
        <w:rPr>
          <w:rFonts w:hint="eastAsia" w:ascii="黑体" w:hAnsi="Times New Roman" w:eastAsia="黑体"/>
          <w:b w:val="0"/>
          <w:bCs w:val="0"/>
          <w:color w:val="000000"/>
          <w:kern w:val="0"/>
          <w:lang w:bidi="en-US"/>
        </w:rPr>
        <w:t xml:space="preserve">三、评价结论及绩效分析 </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(一)评价结果</w:t>
      </w:r>
      <w:r>
        <w:rPr>
          <w:rFonts w:hint="eastAsia" w:ascii="楷体" w:hAnsi="楷体" w:eastAsia="楷体" w:cs="楷体"/>
          <w:sz w:val="32"/>
          <w:szCs w:val="32"/>
        </w:rPr>
        <w:tab/>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1.本次评价认为：最终评分结果为98分，绩效评价结果为“优秀”。该项目绩效目标完成总体情况较好。</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主要绩效：昆明故事撰写方面，本项目共分10大类别撰写了100个昆明故事，数量和质量均达到了要求；图书出版方面，按照要求完成了3500本图书的出版发行；在扩大宣传报道方面，除了靠书籍本身公开发行传播以外，将其中的50个故事在都市时报报纸上进行刊登，该书籍全部100个故事在都市时报客户端上分别进行刊登，在腾讯、新浪、搜狐、百度等头部平台广为转载，全网发稿100多篇，转载阅读量超过了500万次。</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(二)绩效分析</w:t>
      </w:r>
      <w:r>
        <w:rPr>
          <w:rFonts w:hint="eastAsia" w:ascii="楷体" w:hAnsi="楷体" w:eastAsia="楷体" w:cs="楷体"/>
          <w:sz w:val="32"/>
          <w:szCs w:val="32"/>
        </w:rPr>
        <w:tab/>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1.项目决策，符合围绕中心、服务大局的指导思想，围绕市委市政府的重点工作讲好昆明故事、凝聚向上力量的决策，立项依据充分、规范，绩效目标设定合理指标明确。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2.项目管理，预算编制合理，执行到位， 财务制度健全，监控有效，符合预算批复的用途，不存在截留、挤占、挪用、虚列支出等情况，项目实施执行方案、管理制度有效。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绩效，通过上述绩效自评评价表中可以看出，各阶段项目实施完成后均已达到或超过预期设定绩效目标，具体包括：1.在本图书出版数量质量指标绩效完成方面，调动都市时报资深记者和昆明作家协会知名作家共42人，完成了100个故事、总计30万字的撰稿工作。整本书的编撰工作体现通俗易懂，易于传播，公开发行，同步选择一批有价值的昆明故事线索，由专家学者、作家记者深入采风、文本创作的同时，同步拍摄照片，方便运用新媒体等手段进行二次包装和传播；所有的故事充分尊重历史、尊重新闻事实，无论是专家学者，还是作家记者，文稿一律采用非虚构写作，在掌握历史素材的基础上进行艺术加工，不进行小说创作。本书籍符合出版管理规定，其中，成品尺寸：185毫米*260毫米，工艺：锁线胶装成册，铜版纸全彩印刷，封面规格：4P，250克铜板纸前后各带7厘米勒口，四色印刷单面覆哑膜；内页共计356P，80克新超感双面四色印刷。2.在社会效益指标、可持续发展和影响指标绩效完成方面，总传阅率达到24500人次以上。另外，为了扩大《故事里的昆明》100个故事的影响力、引导力、传播力和公信力，树立昆明对外良好形象，从8月19日开始，到11月10日止，都市时报把该图书100个故事分期推送到新媒体都市时报APP上，同时，在都市时报报纸上用50个整版的规模，择优刊登其中50篇昆明故事，目前为止，通过搜索百度可以发现，全网共有514万个网页转载了《故事里的昆明》相关文章，全网累计阅读量超过500万次。3.在社会公众或服务对象满意度评价方面，以图文并茂的方式进行图书的二次加工和传播，扩大覆盖面、影响力和传播力，这些故事得到广大读者和网友的广泛认可，读者和网友阅读满意率要≥95%，本项指标抽测达94%左右。自评绩效为98分。</w:t>
      </w:r>
    </w:p>
    <w:p>
      <w:pPr>
        <w:pStyle w:val="2"/>
        <w:spacing w:before="0" w:after="0" w:line="600" w:lineRule="exact"/>
        <w:ind w:firstLine="640" w:firstLineChars="200"/>
        <w:rPr>
          <w:rFonts w:hint="eastAsia" w:ascii="黑体" w:hAnsi="Times New Roman" w:eastAsia="黑体"/>
          <w:b w:val="0"/>
          <w:bCs w:val="0"/>
          <w:color w:val="000000"/>
          <w:kern w:val="0"/>
          <w:lang w:bidi="en-US"/>
        </w:rPr>
      </w:pPr>
      <w:r>
        <w:rPr>
          <w:rFonts w:hint="eastAsia" w:ascii="黑体" w:hAnsi="Times New Roman" w:eastAsia="黑体"/>
          <w:b w:val="0"/>
          <w:bCs w:val="0"/>
          <w:color w:val="000000"/>
          <w:kern w:val="0"/>
          <w:lang w:bidi="en-US"/>
        </w:rPr>
        <w:t>四、成本效益分析</w:t>
      </w:r>
    </w:p>
    <w:p>
      <w:pPr>
        <w:pStyle w:val="5"/>
        <w:widowControl/>
        <w:spacing w:before="0" w:beforeAutospacing="0" w:after="0" w:afterAutospacing="0" w:line="600"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rPr>
        <w:t>（一）资金收入及支出</w:t>
      </w:r>
    </w:p>
    <w:p>
      <w:pPr>
        <w:pStyle w:val="5"/>
        <w:widowControl/>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30303"/>
          <w:sz w:val="32"/>
          <w:szCs w:val="32"/>
        </w:rPr>
        <w:t>项目资金按照“量入为出，先存后用、节约使用”的原则，做到有计划、合理地使用各专项资金。</w:t>
      </w:r>
      <w:r>
        <w:rPr>
          <w:rFonts w:hint="eastAsia" w:ascii="仿宋_GB2312" w:hAnsi="仿宋_GB2312" w:eastAsia="仿宋_GB2312" w:cs="仿宋_GB2312"/>
          <w:sz w:val="32"/>
          <w:szCs w:val="32"/>
        </w:rPr>
        <w:t>项目资金来源为文艺专项资金财政拨款，预算资金55万元于2021年10月份拨付到位，全部用于保障《故事里的昆明》项目中撰稿、编辑、编审、出版、印刷、线上线下宣传报道等支出。</w:t>
      </w:r>
    </w:p>
    <w:p>
      <w:pPr>
        <w:pStyle w:val="5"/>
        <w:widowControl/>
        <w:numPr>
          <w:ilvl w:val="0"/>
          <w:numId w:val="4"/>
        </w:numPr>
        <w:spacing w:before="0" w:beforeAutospacing="0" w:after="0" w:afterAutospacing="0" w:line="600" w:lineRule="exact"/>
        <w:ind w:firstLine="640" w:firstLineChars="200"/>
        <w:jc w:val="both"/>
        <w:rPr>
          <w:rFonts w:hint="eastAsia" w:ascii="楷体" w:hAnsi="楷体" w:eastAsia="楷体" w:cs="楷体"/>
          <w:sz w:val="32"/>
          <w:szCs w:val="32"/>
        </w:rPr>
      </w:pPr>
      <w:r>
        <w:rPr>
          <w:rFonts w:hint="eastAsia" w:ascii="楷体" w:hAnsi="楷体" w:eastAsia="楷体" w:cs="楷体"/>
          <w:sz w:val="32"/>
          <w:szCs w:val="32"/>
        </w:rPr>
        <w:t>资金管理制度及管理办法主要包括以下方面：</w:t>
      </w:r>
    </w:p>
    <w:p>
      <w:pPr>
        <w:pStyle w:val="5"/>
        <w:widowControl/>
        <w:spacing w:before="0" w:beforeAutospacing="0" w:after="0" w:afterAutospacing="0" w:line="60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都市时报严格执行昆明报业传媒集团（昆明日报社）的财务管理制度，首先是制定该项目财务规划，由集团帮助昆明都市时报传媒有限责任公司设立指导方针来制定运营和财务计划，将该项目转化成有形的财务指标，确保本项目各个阶段工作指标能够如期完成。在财务管理方面，一是严格执行收支两条线，本项目收款和支出严格执行集团财务管理制度，确保每一分资金都用在刀刃上；二是采用先收款后支出的原则，对每一阶段完成的项目进行绩效评估，在质量、数量和效益指标都达标的情况下，才能根据绩效评估结果使用该项目资金，确保每一笔资金的使用效益最大化。具体制度包括：</w:t>
      </w:r>
    </w:p>
    <w:p>
      <w:pPr>
        <w:pStyle w:val="5"/>
        <w:widowControl/>
        <w:spacing w:before="0" w:beforeAutospacing="0" w:after="0" w:afterAutospacing="0" w:line="600" w:lineRule="exact"/>
        <w:ind w:firstLine="420"/>
        <w:jc w:val="both"/>
        <w:rPr>
          <w:rFonts w:ascii="仿宋_GB2312" w:hAnsi="仿宋_GB2312" w:eastAsia="仿宋_GB2312" w:cs="仿宋_GB2312"/>
          <w:color w:val="030303"/>
          <w:sz w:val="32"/>
          <w:szCs w:val="32"/>
        </w:rPr>
      </w:pPr>
      <w:bookmarkStart w:id="0" w:name="_Toc8767"/>
      <w:bookmarkStart w:id="1" w:name="_Toc20161"/>
      <w:bookmarkStart w:id="2" w:name="_Toc14096"/>
      <w:r>
        <w:rPr>
          <w:rFonts w:hint="eastAsia" w:ascii="仿宋_GB2312" w:hAnsi="仿宋_GB2312" w:eastAsia="仿宋_GB2312" w:cs="仿宋_GB2312"/>
          <w:color w:val="030303"/>
          <w:sz w:val="32"/>
          <w:szCs w:val="32"/>
        </w:rPr>
        <w:t>（1）指定专人进行资金管理；</w:t>
      </w:r>
      <w:bookmarkEnd w:id="0"/>
      <w:bookmarkEnd w:id="1"/>
      <w:bookmarkEnd w:id="2"/>
    </w:p>
    <w:p>
      <w:pPr>
        <w:pStyle w:val="5"/>
        <w:widowControl/>
        <w:spacing w:before="0" w:beforeAutospacing="0" w:after="0" w:afterAutospacing="0" w:line="600" w:lineRule="exact"/>
        <w:ind w:firstLine="420"/>
        <w:jc w:val="both"/>
        <w:rPr>
          <w:rFonts w:ascii="仿宋_GB2312" w:hAnsi="仿宋_GB2312" w:eastAsia="仿宋_GB2312" w:cs="仿宋_GB2312"/>
          <w:color w:val="030303"/>
          <w:sz w:val="32"/>
          <w:szCs w:val="32"/>
        </w:rPr>
      </w:pPr>
      <w:bookmarkStart w:id="3" w:name="_Toc27003"/>
      <w:bookmarkStart w:id="4" w:name="_Toc9851"/>
      <w:bookmarkStart w:id="5" w:name="_Toc13636"/>
      <w:r>
        <w:rPr>
          <w:rFonts w:hint="eastAsia" w:ascii="仿宋_GB2312" w:hAnsi="仿宋_GB2312" w:eastAsia="仿宋_GB2312" w:cs="仿宋_GB2312"/>
          <w:color w:val="030303"/>
          <w:sz w:val="32"/>
          <w:szCs w:val="32"/>
        </w:rPr>
        <w:t>（2）资金收入及时入账；</w:t>
      </w:r>
      <w:bookmarkEnd w:id="3"/>
      <w:bookmarkEnd w:id="4"/>
      <w:bookmarkEnd w:id="5"/>
    </w:p>
    <w:p>
      <w:pPr>
        <w:pStyle w:val="5"/>
        <w:widowControl/>
        <w:spacing w:before="0" w:beforeAutospacing="0" w:after="0" w:afterAutospacing="0" w:line="600" w:lineRule="exact"/>
        <w:ind w:firstLine="420"/>
        <w:jc w:val="both"/>
        <w:rPr>
          <w:rFonts w:ascii="仿宋_GB2312" w:hAnsi="仿宋_GB2312" w:eastAsia="仿宋_GB2312" w:cs="仿宋_GB2312"/>
          <w:color w:val="030303"/>
          <w:sz w:val="32"/>
          <w:szCs w:val="32"/>
        </w:rPr>
      </w:pPr>
      <w:bookmarkStart w:id="6" w:name="_Toc28124"/>
      <w:bookmarkStart w:id="7" w:name="_Toc15659"/>
      <w:bookmarkStart w:id="8" w:name="_Toc18040"/>
      <w:r>
        <w:rPr>
          <w:rFonts w:hint="eastAsia" w:ascii="仿宋_GB2312" w:hAnsi="仿宋_GB2312" w:eastAsia="仿宋_GB2312" w:cs="仿宋_GB2312"/>
          <w:color w:val="030303"/>
          <w:sz w:val="32"/>
          <w:szCs w:val="32"/>
        </w:rPr>
        <w:t>（3）资金支出需要经过严格的审批；</w:t>
      </w:r>
      <w:bookmarkEnd w:id="6"/>
      <w:bookmarkEnd w:id="7"/>
      <w:bookmarkEnd w:id="8"/>
    </w:p>
    <w:p>
      <w:pPr>
        <w:pStyle w:val="5"/>
        <w:widowControl/>
        <w:spacing w:before="0" w:beforeAutospacing="0" w:after="0" w:afterAutospacing="0" w:line="600" w:lineRule="exact"/>
        <w:ind w:firstLine="420"/>
        <w:jc w:val="both"/>
        <w:rPr>
          <w:rFonts w:ascii="仿宋_GB2312" w:hAnsi="仿宋_GB2312" w:eastAsia="仿宋_GB2312" w:cs="仿宋_GB2312"/>
          <w:color w:val="030303"/>
          <w:sz w:val="32"/>
          <w:szCs w:val="32"/>
        </w:rPr>
      </w:pPr>
      <w:bookmarkStart w:id="9" w:name="_Toc17666"/>
      <w:bookmarkStart w:id="10" w:name="_Toc6968"/>
      <w:bookmarkStart w:id="11" w:name="_Toc3706"/>
      <w:r>
        <w:rPr>
          <w:rFonts w:hint="eastAsia" w:ascii="仿宋_GB2312" w:hAnsi="仿宋_GB2312" w:eastAsia="仿宋_GB2312" w:cs="仿宋_GB2312"/>
          <w:color w:val="030303"/>
          <w:sz w:val="32"/>
          <w:szCs w:val="32"/>
        </w:rPr>
        <w:t>（4）制定资金预算并按预算进行管理；</w:t>
      </w:r>
      <w:bookmarkEnd w:id="9"/>
      <w:bookmarkEnd w:id="10"/>
      <w:bookmarkEnd w:id="11"/>
    </w:p>
    <w:p>
      <w:pPr>
        <w:pStyle w:val="5"/>
        <w:widowControl/>
        <w:spacing w:before="0" w:beforeAutospacing="0" w:after="0" w:afterAutospacing="0" w:line="600" w:lineRule="exact"/>
        <w:ind w:firstLine="420"/>
        <w:jc w:val="both"/>
        <w:rPr>
          <w:rFonts w:ascii="仿宋_GB2312" w:hAnsi="仿宋_GB2312" w:eastAsia="仿宋_GB2312" w:cs="仿宋_GB2312"/>
          <w:color w:val="030303"/>
          <w:sz w:val="32"/>
          <w:szCs w:val="32"/>
        </w:rPr>
      </w:pPr>
      <w:bookmarkStart w:id="12" w:name="_Toc31511"/>
      <w:bookmarkStart w:id="13" w:name="_Toc26498"/>
      <w:bookmarkStart w:id="14" w:name="_Toc9846"/>
      <w:r>
        <w:rPr>
          <w:rFonts w:hint="eastAsia" w:ascii="仿宋_GB2312" w:hAnsi="仿宋_GB2312" w:eastAsia="仿宋_GB2312" w:cs="仿宋_GB2312"/>
          <w:color w:val="030303"/>
          <w:sz w:val="32"/>
          <w:szCs w:val="32"/>
        </w:rPr>
        <w:t>（5）定期报告资金使用和结余情况。</w:t>
      </w:r>
      <w:bookmarkEnd w:id="12"/>
      <w:bookmarkEnd w:id="13"/>
      <w:bookmarkEnd w:id="14"/>
    </w:p>
    <w:p>
      <w:pPr>
        <w:pStyle w:val="2"/>
        <w:spacing w:before="0" w:after="0" w:line="600" w:lineRule="exact"/>
        <w:ind w:firstLine="640" w:firstLineChars="200"/>
        <w:rPr>
          <w:rFonts w:hint="eastAsia" w:ascii="黑体" w:hAnsi="Times New Roman" w:eastAsia="黑体"/>
          <w:b w:val="0"/>
          <w:bCs w:val="0"/>
          <w:color w:val="000000"/>
          <w:kern w:val="0"/>
          <w:lang w:bidi="en-US"/>
        </w:rPr>
      </w:pPr>
      <w:r>
        <w:rPr>
          <w:rFonts w:hint="eastAsia" w:ascii="黑体" w:hAnsi="Times New Roman" w:eastAsia="黑体"/>
          <w:b w:val="0"/>
          <w:bCs w:val="0"/>
          <w:color w:val="000000"/>
          <w:kern w:val="0"/>
          <w:lang w:bidi="en-US"/>
        </w:rPr>
        <w:t xml:space="preserve">五、主要经验及做法、存在的问题和建议 </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(一)主要经验及做法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的顺利实施和圆满完成主要得益于：一是统一思想，步调一致。都市时报主要领导直接参与、指挥项目策划、大纲撰写并付诸实施。在报社层面直接调用整合资源、人力，多中心合力参与，齐头并进。二是精心策划组织。在报社领导的主持下，项目从策划到实施，报社主要部门负责人多次参与讨论、协商、群策群力，精心安排部署，让项目按工作方案得以进行。三是线上线下密切配合。除了安排42名专业记者作家撰写高质量的昆明故事以外，对这些故事的传播通过报纸，客户端，官方微信、头部网站、企鹅号等全媒体矩阵分发传播，有效扩大了故事的传播力、引导力、影响力和公信力，让昆明故事更加深入人心。</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(二)存在的问题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1.工作过程记录资料不够完整；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2.监督机制有待健全；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3.绩效指标设置不够完善。</w:t>
      </w:r>
      <w:r>
        <w:rPr>
          <w:rFonts w:hint="eastAsia" w:ascii="仿宋_GB2312" w:hAnsi="仿宋_GB2312" w:eastAsia="仿宋_GB2312" w:cs="仿宋_GB2312"/>
          <w:sz w:val="32"/>
          <w:szCs w:val="32"/>
        </w:rPr>
        <w:tab/>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 xml:space="preserve">(三)建议和改进措施 </w:t>
      </w:r>
      <w:r>
        <w:rPr>
          <w:rFonts w:hint="eastAsia" w:ascii="楷体" w:hAnsi="楷体" w:eastAsia="楷体" w:cs="楷体"/>
          <w:sz w:val="32"/>
          <w:szCs w:val="32"/>
        </w:rPr>
        <w:tab/>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图书出版是一项系统工程。涉及作者单位、出版单位、审读单位、印刷厂等单位的相关工作，需要建立高效统一的指挥运转系统，本项目在出版单位占用的时间较长达5个月，虽然总体时间仍控制在6个月规定时间内，但是如果进一步加强沟通协调，加强审读环节的时间把控，还是可以缩短出版周期的。</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为了扩大100个昆明故事的传播力、引导力、影响力和公信力，都市时报及时通过网站、新媒体进行信息发布，下一步在今后的工作中，能够做到多元化传播，将起到事半功倍的效果。比如在图书出版当中，策划有声书，二维码扫码即可零距离阅读等功能，这将会进一步提高该项目的传播效果。</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不断提升类似项目执行者的能力素质和工作绩效，从而提高和改善组织的能力和绩效，最终实现项目、部门和个人的绩效目标。其中，绩效管理全过程的绩效沟通是绩效管理的关键，它可以宣传和渗透绩效管理的理念，能够让项目所有全体执行者、参与者正确认识绩效管理，消除执行者的抵触情绪，鼓励项目执行者积极主动参与到绩效管理工作，从而提高项目资金的使用效率和绩效水平。</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图书出版项目的周期取决于出版社的申请书号等环节的时间，对此，应当加强从方案策划、撰写故事、编辑排版、出版社三审三校、申请书号、印刷出版、上市发行各个环节加强监督约束机制管理，在绩效管理的每一个环节进行监督约束，保障所有项目的实际权益不受损害，确保绩效管理体系运营全过程的客观、公平、公正。</w:t>
      </w:r>
    </w:p>
    <w:p>
      <w:pPr>
        <w:spacing w:line="600" w:lineRule="exact"/>
        <w:rPr>
          <w:rFonts w:hint="eastAsia" w:ascii="楷体_GB2312" w:eastAsia="楷体_GB2312"/>
          <w:sz w:val="32"/>
          <w:szCs w:val="32"/>
        </w:rPr>
      </w:pPr>
      <w:r>
        <w:rPr>
          <w:rFonts w:hint="eastAsia" w:ascii="仿宋_GB2312" w:hAnsi="仿宋_GB2312" w:eastAsia="仿宋_GB2312" w:cs="仿宋_GB2312"/>
          <w:sz w:val="32"/>
          <w:szCs w:val="32"/>
        </w:rPr>
        <w:br w:type="page"/>
      </w:r>
      <w:r>
        <w:rPr>
          <w:rFonts w:hint="eastAsia" w:ascii="楷体_GB2312" w:eastAsia="楷体_GB2312"/>
          <w:sz w:val="32"/>
          <w:szCs w:val="32"/>
        </w:rPr>
        <w:t>项目一：</w:t>
      </w:r>
    </w:p>
    <w:tbl>
      <w:tblPr>
        <w:tblStyle w:val="6"/>
        <w:tblW w:w="11343" w:type="dxa"/>
        <w:jc w:val="center"/>
        <w:tblLayout w:type="fixed"/>
        <w:tblCellMar>
          <w:top w:w="0" w:type="dxa"/>
          <w:left w:w="108" w:type="dxa"/>
          <w:bottom w:w="0" w:type="dxa"/>
          <w:right w:w="108" w:type="dxa"/>
        </w:tblCellMar>
      </w:tblPr>
      <w:tblGrid>
        <w:gridCol w:w="1045"/>
        <w:gridCol w:w="1183"/>
        <w:gridCol w:w="996"/>
        <w:gridCol w:w="1414"/>
        <w:gridCol w:w="709"/>
        <w:gridCol w:w="708"/>
        <w:gridCol w:w="1843"/>
        <w:gridCol w:w="2126"/>
        <w:gridCol w:w="1319"/>
      </w:tblGrid>
      <w:tr>
        <w:tblPrEx>
          <w:tblCellMar>
            <w:top w:w="0" w:type="dxa"/>
            <w:left w:w="108" w:type="dxa"/>
            <w:bottom w:w="0" w:type="dxa"/>
            <w:right w:w="108" w:type="dxa"/>
          </w:tblCellMar>
        </w:tblPrEx>
        <w:trPr>
          <w:jc w:val="center"/>
        </w:trPr>
        <w:tc>
          <w:tcPr>
            <w:tcW w:w="11343" w:type="dxa"/>
            <w:gridSpan w:val="9"/>
            <w:tcBorders>
              <w:top w:val="nil"/>
              <w:left w:val="nil"/>
              <w:bottom w:val="single" w:color="auto" w:sz="4" w:space="0"/>
              <w:right w:val="nil"/>
            </w:tcBorders>
            <w:noWrap w:val="0"/>
            <w:vAlign w:val="center"/>
          </w:tcPr>
          <w:p>
            <w:pPr>
              <w:spacing w:line="0" w:lineRule="atLeast"/>
              <w:jc w:val="center"/>
              <w:rPr>
                <w:rFonts w:eastAsia="方正小标宋简体"/>
                <w:bCs/>
                <w:sz w:val="44"/>
                <w:szCs w:val="32"/>
              </w:rPr>
            </w:pPr>
            <w:r>
              <w:rPr>
                <w:rFonts w:eastAsia="方正小标宋简体"/>
                <w:bCs/>
                <w:sz w:val="44"/>
                <w:szCs w:val="32"/>
              </w:rPr>
              <w:t>20</w:t>
            </w:r>
            <w:r>
              <w:rPr>
                <w:rFonts w:hint="eastAsia" w:eastAsia="方正小标宋简体"/>
                <w:bCs/>
                <w:sz w:val="44"/>
                <w:szCs w:val="32"/>
              </w:rPr>
              <w:t>2</w:t>
            </w:r>
            <w:r>
              <w:rPr>
                <w:rFonts w:eastAsia="方正小标宋简体"/>
                <w:bCs/>
                <w:sz w:val="44"/>
                <w:szCs w:val="32"/>
              </w:rPr>
              <w:t>1年度报纸印刷用新闻纸项目支出绩效评分表</w:t>
            </w:r>
          </w:p>
          <w:p>
            <w:pPr>
              <w:spacing w:line="0" w:lineRule="atLeast"/>
              <w:jc w:val="center"/>
              <w:rPr>
                <w:rFonts w:eastAsia="方正小标宋简体"/>
                <w:bCs/>
                <w:sz w:val="44"/>
                <w:szCs w:val="32"/>
              </w:rPr>
            </w:pPr>
          </w:p>
        </w:tc>
      </w:tr>
      <w:tr>
        <w:tblPrEx>
          <w:tblCellMar>
            <w:top w:w="0" w:type="dxa"/>
            <w:left w:w="108" w:type="dxa"/>
            <w:bottom w:w="0" w:type="dxa"/>
            <w:right w:w="108" w:type="dxa"/>
          </w:tblCellMar>
        </w:tblPrEx>
        <w:trPr>
          <w:jc w:val="center"/>
        </w:trPr>
        <w:tc>
          <w:tcPr>
            <w:tcW w:w="1045" w:type="dxa"/>
            <w:tcBorders>
              <w:top w:val="nil"/>
              <w:left w:val="single" w:color="auto" w:sz="4" w:space="0"/>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一级指标</w:t>
            </w:r>
          </w:p>
        </w:tc>
        <w:tc>
          <w:tcPr>
            <w:tcW w:w="118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二级指标</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三级指标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四级指标</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分值</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得分</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指标解释</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评分标准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数据来源</w:t>
            </w: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A.项目决策（20%）</w:t>
            </w:r>
          </w:p>
        </w:tc>
        <w:tc>
          <w:tcPr>
            <w:tcW w:w="1183"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A1.项目立项（8%）</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A11.与部门中长期规划目标适应性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A111.与部门中长期规划目标匹配性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考察项目与部门中长期目标是否匹配</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匹配，得满分；不匹配，不得分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A12.立项依据充分性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A121.与市政府相关规划、决策匹配性</w:t>
            </w:r>
            <w:r>
              <w:rPr>
                <w:rFonts w:hint="eastAsia"/>
                <w:color w:val="000000"/>
                <w:kern w:val="0"/>
                <w:sz w:val="18"/>
                <w:szCs w:val="18"/>
              </w:rPr>
              <w:t>，</w:t>
            </w:r>
            <w:r>
              <w:rPr>
                <w:color w:val="000000"/>
                <w:kern w:val="0"/>
                <w:sz w:val="18"/>
                <w:szCs w:val="18"/>
              </w:rPr>
              <w:t>与部门职责适应性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考察项目是否符合市政府相关发展规划和政府决策</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符合，得满分；不符合，不得分。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left w:val="nil"/>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A122.与部门职责适应性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考察项目是否与部门职责密切相关</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single" w:color="auto" w:sz="4" w:space="0"/>
              <w:left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A13.项目立项规范性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A131.前期调研情况</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考察项目立项是否经过前期调研。</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left w:val="nil"/>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A132立项程序规范性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考察项目立项申请、设立过程是否符合相关要求。</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A2.项目目标（12%）</w:t>
            </w:r>
          </w:p>
        </w:tc>
        <w:tc>
          <w:tcPr>
            <w:tcW w:w="9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A21.绩效目标设定的合理性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A211.绩效目标相关性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考察设定的绩效目标是否与事业发展规划相关。</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A212.绩效目标完整性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考察设定的绩效目标是否完整地反应预期产出和效果</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A213.目标与预算的匹配性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考察设定的绩效目标是否与年度预算相匹配。</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绩效目标申报表、立项申请、批复文件</w:t>
            </w:r>
          </w:p>
        </w:tc>
      </w:tr>
      <w:tr>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A22.绩效指标设定的明确性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A221.指标细化分解情况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考察是否将绩效目标细化分解为清晰、可衡量的绩效指标。</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A222.指标与目标的匹配性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3</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考察设定的绩效指标是否与年度工作任务相对应。</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是，得满分；否，不得分。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B.项目管理（20%）</w:t>
            </w:r>
          </w:p>
        </w:tc>
        <w:tc>
          <w:tcPr>
            <w:tcW w:w="118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B1.投入管理（4%）</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B11.预算编制合理性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考察预算编制是否充分、合理的预计项目支出并完整反应</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合理得满分；存在一项不合理，扣0.5分，扣完为止</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B12.预算调整规范性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考察存在预算调整时是否按照相关规定执行调整程序。</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规范，得满分；部分规范，得一分；不规范，不得分。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B13.预算执行率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考察项目预算执行的进度。预算执行率=实际支出金额/项目预算金额×100%</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预算执行率95%以上，得满分；低于95%，每下降1%扣权重的1%；预算执行率60%以下，不计分。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B2.财务管理（6%）</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B21.资金使用情况</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考察项目资金使用是否符合预算批复的用途，是否存在截留、挤占、挪用、虚列支出等情况。</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合规，得满分；存在一项不合规，扣1分，扣完为止。</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B22.财务管理制度健全性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考察项目的财务制度是否健全、完善、有效。</w:t>
            </w:r>
          </w:p>
        </w:tc>
        <w:tc>
          <w:tcPr>
            <w:tcW w:w="2126" w:type="dxa"/>
            <w:tcBorders>
              <w:top w:val="nil"/>
              <w:left w:val="nil"/>
              <w:bottom w:val="single" w:color="auto" w:sz="4" w:space="0"/>
              <w:right w:val="single" w:color="auto" w:sz="4" w:space="0"/>
            </w:tcBorders>
            <w:noWrap w:val="0"/>
            <w:vAlign w:val="top"/>
          </w:tcPr>
          <w:p>
            <w:pPr>
              <w:widowControl/>
              <w:spacing w:line="0" w:lineRule="atLeas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c.是否存在需要完善的风险控制环节。符合所有条件，得满分； 一项不符合，扣1分，扣完为止。</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B23.财务监控有效性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B231.资金拨付程序完整性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考察资金拨付是否具有完整的审批程序和手续，是否符合相关制度规定。</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资金拨付申请、审批手续完整，得满分；存在一例手续不完整，不得分。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B232财务制度执行有效性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考察是否存在违反相关财务管理制度的情况。</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不存在，得满分；存在1例，不得分。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nil"/>
              <w:left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B3.项目实施（10%）</w:t>
            </w:r>
          </w:p>
        </w:tc>
        <w:tc>
          <w:tcPr>
            <w:tcW w:w="996" w:type="dxa"/>
            <w:vMerge w:val="restart"/>
            <w:tcBorders>
              <w:top w:val="nil"/>
              <w:left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B31.项目管理制度健全性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B311.项目实施单位管理制度健全性</w:t>
            </w:r>
            <w:r>
              <w:rPr>
                <w:rFonts w:hint="eastAsia"/>
                <w:color w:val="000000"/>
                <w:kern w:val="0"/>
                <w:sz w:val="18"/>
                <w:szCs w:val="18"/>
              </w:rPr>
              <w:t>，</w:t>
            </w:r>
            <w:r>
              <w:rPr>
                <w:color w:val="000000"/>
                <w:kern w:val="0"/>
                <w:sz w:val="18"/>
                <w:szCs w:val="18"/>
              </w:rPr>
              <w:t>管理方监管措施健全性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color w:val="000000"/>
                <w:kern w:val="0"/>
                <w:sz w:val="18"/>
                <w:szCs w:val="18"/>
              </w:rPr>
            </w:pPr>
          </w:p>
        </w:tc>
        <w:tc>
          <w:tcPr>
            <w:tcW w:w="996" w:type="dxa"/>
            <w:vMerge w:val="continue"/>
            <w:tcBorders>
              <w:left w:val="nil"/>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B312管理方监管措施健全性</w:t>
            </w:r>
          </w:p>
        </w:tc>
        <w:tc>
          <w:tcPr>
            <w:tcW w:w="70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考察项目主管部门为保障项目顺利实施制订的与项目直接相关的业务管理制度是否健全，完善和有效。</w:t>
            </w:r>
          </w:p>
        </w:tc>
        <w:tc>
          <w:tcPr>
            <w:tcW w:w="2126"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监管措施明确、完善，得满分；每存在一项需要完善的风险控制点，扣权重的30%，扣完为止。</w:t>
            </w:r>
          </w:p>
        </w:tc>
        <w:tc>
          <w:tcPr>
            <w:tcW w:w="1319" w:type="dxa"/>
            <w:tcBorders>
              <w:top w:val="single" w:color="auto" w:sz="4" w:space="0"/>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color w:val="000000"/>
                <w:kern w:val="0"/>
                <w:sz w:val="18"/>
                <w:szCs w:val="18"/>
              </w:rPr>
            </w:pPr>
          </w:p>
        </w:tc>
        <w:tc>
          <w:tcPr>
            <w:tcW w:w="9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B32.项目管理制度执行有效性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B321.项目实施单位管理制度执行情况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考察项目实施单位制订的管理制度是否有效执行。</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有效执行，得满分；部分执行，得权重的60%；未执行，不得分。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B322.监管措施执行情况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项目主管部门所制订的监管措施是否有效执行。</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有效执行，得满分；部分执行，得权重的60%；未执行，不得分。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B323.合同执行情况</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考察与项目相关的合同是否有效执行。</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有效执行，得满分；部分执行，得权重的60%；未执行，不得分。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B324.台账记录规范性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2</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考察项目实施过程中的相关台账记录是否完整，并符合要求。</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规范，得满分；部分规范，得权重的60%；不规范，不得分。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jc w:val="center"/>
        </w:trPr>
        <w:tc>
          <w:tcPr>
            <w:tcW w:w="1045"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B33.政府采购规范性</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B331.采购方式合规性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考察采购方式是否符合国家、本市的相关要求。</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符合相关要求，得满分；一项不符合，不得分。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jc w:val="center"/>
        </w:trPr>
        <w:tc>
          <w:tcPr>
            <w:tcW w:w="1045" w:type="dxa"/>
            <w:vMerge w:val="continue"/>
            <w:tcBorders>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B332.采购流程规范性</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考察采购流程是否符合相关规定。</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符合相关要求，得满分；一项不符合，不得分。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jc w:val="center"/>
        </w:trPr>
        <w:tc>
          <w:tcPr>
            <w:tcW w:w="104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C.项目绩效（60%）</w:t>
            </w:r>
          </w:p>
        </w:tc>
        <w:tc>
          <w:tcPr>
            <w:tcW w:w="1183" w:type="dxa"/>
            <w:vMerge w:val="restart"/>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C1.项目产出（30%）</w:t>
            </w:r>
          </w:p>
        </w:tc>
        <w:tc>
          <w:tcPr>
            <w:tcW w:w="996" w:type="dxa"/>
            <w:vMerge w:val="restart"/>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C11.数量指标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C111.昆明日报年出版365期</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日报，每天出版，全年出版365期</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全部出版、得满分；少出版一期扣1分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C112.日均出版12版</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平均每天出版版数为8开12版</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全部出版、得满分；少出版一期扣2分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nil"/>
              <w:left w:val="single" w:color="auto" w:sz="4" w:space="0"/>
              <w:bottom w:val="nil"/>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C113.昆明日报日均发行量7.5万份</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8</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8</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每天面向社会公众公开发行数量为7.5万份</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全部出版、得满分；少出版一期扣3分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C12.质量指标</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C121.报纸印刷质量</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6</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5.9</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版心居中、文字清晰、墨色均匀、色彩真实、套印准确</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报纸每版外观出现皱折、脏污，视其面积大小扣0.1～1分；版心中由于各种原因出现局部墨色轻重不匀现象或局部重影，扣0.5～1分。 漏印字迹，字迹糊死的，每处扣0.1分；正反面版心严重偏差，影响美观，每次扣1分；文字套印不准，每次扣1分。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印刷厂统计数据</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nil"/>
              <w:left w:val="single" w:color="auto" w:sz="4" w:space="0"/>
              <w:bottom w:val="nil"/>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C122.内容准确率、内容传播效果</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6</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5.8</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坚守正确舆论导向这条生命线，坚持不懈提高办报质量，确保圆满完成各项宣传任务，坚决杜绝重大新闻安全事故和采编责任事故</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新闻报道出现一般性差错的，每次扣0.1分，出现重大采编责任事故每次扣3分。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市委宣传部阅评通报</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C2.项目效益（30%）</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C21.社会效益</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C211新闻宣传效果、舆论引导效果、时政要闻、经济新闻、都市新闻、县区新闻、国际国内新闻</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坚持正面宣传为主，讲好昆明故事，传播春城好声音，不断提高新闻宣传的质量和舆论引导的水平</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新闻报道、舆论引导出现一般性差错的，每次扣0.1分，出现重大采编责任事故每次扣3分。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市委宣传部阅评通报</w:t>
            </w:r>
          </w:p>
        </w:tc>
      </w:tr>
      <w:tr>
        <w:tblPrEx>
          <w:tblCellMar>
            <w:top w:w="0" w:type="dxa"/>
            <w:left w:w="108" w:type="dxa"/>
            <w:bottom w:w="0" w:type="dxa"/>
            <w:right w:w="108" w:type="dxa"/>
          </w:tblCellMar>
        </w:tblPrEx>
        <w:trPr>
          <w:jc w:val="center"/>
        </w:trPr>
        <w:tc>
          <w:tcPr>
            <w:tcW w:w="104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0" w:lineRule="atLeast"/>
              <w:rPr>
                <w:rFonts w:eastAsia="仿宋_GB2312"/>
                <w:b/>
                <w:bCs/>
                <w:color w:val="000000"/>
                <w:kern w:val="0"/>
                <w:sz w:val="28"/>
                <w:szCs w:val="28"/>
              </w:rPr>
            </w:pP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C22.生态效益</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C221.润版液、油墨、CTP板材等印刷材料</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15</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使用中国环保认证产品</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使用不符合环保要求产品的，每次扣1分。</w:t>
            </w:r>
          </w:p>
        </w:tc>
        <w:tc>
          <w:tcPr>
            <w:tcW w:w="131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印刷厂</w:t>
            </w:r>
          </w:p>
        </w:tc>
      </w:tr>
      <w:tr>
        <w:tblPrEx>
          <w:tblCellMar>
            <w:top w:w="0" w:type="dxa"/>
            <w:left w:w="108" w:type="dxa"/>
            <w:bottom w:w="0" w:type="dxa"/>
            <w:right w:w="108" w:type="dxa"/>
          </w:tblCellMar>
        </w:tblPrEx>
        <w:trPr>
          <w:jc w:val="center"/>
        </w:trPr>
        <w:tc>
          <w:tcPr>
            <w:tcW w:w="1045" w:type="dxa"/>
            <w:tcBorders>
              <w:top w:val="nil"/>
              <w:left w:val="single" w:color="auto" w:sz="4" w:space="0"/>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合计</w:t>
            </w:r>
          </w:p>
        </w:tc>
        <w:tc>
          <w:tcPr>
            <w:tcW w:w="118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100%</w:t>
            </w:r>
          </w:p>
        </w:tc>
        <w:tc>
          <w:tcPr>
            <w:tcW w:w="99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1414"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100分</w:t>
            </w:r>
          </w:p>
        </w:tc>
        <w:tc>
          <w:tcPr>
            <w:tcW w:w="708"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99.7分</w:t>
            </w:r>
          </w:p>
        </w:tc>
        <w:tc>
          <w:tcPr>
            <w:tcW w:w="1843"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2126"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　</w:t>
            </w:r>
          </w:p>
        </w:tc>
        <w:tc>
          <w:tcPr>
            <w:tcW w:w="1319" w:type="dxa"/>
            <w:tcBorders>
              <w:top w:val="nil"/>
              <w:left w:val="nil"/>
              <w:bottom w:val="single" w:color="auto" w:sz="4" w:space="0"/>
              <w:right w:val="single" w:color="auto" w:sz="4" w:space="0"/>
            </w:tcBorders>
            <w:noWrap w:val="0"/>
            <w:vAlign w:val="center"/>
          </w:tcPr>
          <w:p>
            <w:pPr>
              <w:widowControl/>
              <w:spacing w:line="0" w:lineRule="atLeast"/>
              <w:rPr>
                <w:rFonts w:eastAsia="仿宋_GB2312"/>
                <w:b/>
                <w:bCs/>
                <w:color w:val="000000"/>
                <w:kern w:val="0"/>
                <w:sz w:val="28"/>
                <w:szCs w:val="28"/>
              </w:rPr>
            </w:pPr>
            <w:r>
              <w:rPr>
                <w:rFonts w:eastAsia="仿宋_GB2312"/>
                <w:b/>
                <w:bCs/>
                <w:color w:val="000000"/>
                <w:kern w:val="0"/>
                <w:sz w:val="28"/>
                <w:szCs w:val="28"/>
              </w:rPr>
              <w:t>　</w:t>
            </w:r>
          </w:p>
        </w:tc>
      </w:tr>
    </w:tbl>
    <w:p>
      <w:pPr>
        <w:widowControl/>
        <w:rPr>
          <w:rFonts w:hint="eastAsia" w:ascii="方正小标宋_GBK" w:eastAsia="方正小标宋_GBK"/>
          <w:sz w:val="28"/>
          <w:szCs w:val="28"/>
        </w:rPr>
      </w:pPr>
      <w:r>
        <w:rPr>
          <w:rFonts w:hint="eastAsia" w:ascii="方正小标宋_GBK" w:eastAsia="方正小标宋_GBK"/>
          <w:sz w:val="28"/>
          <w:szCs w:val="28"/>
        </w:rPr>
        <w:br w:type="page"/>
      </w:r>
      <w:r>
        <w:rPr>
          <w:rFonts w:hint="eastAsia" w:ascii="楷体_GB2312" w:eastAsia="楷体_GB2312"/>
          <w:sz w:val="32"/>
          <w:szCs w:val="32"/>
        </w:rPr>
        <w:t>项目二：</w:t>
      </w:r>
    </w:p>
    <w:p>
      <w:pPr>
        <w:spacing w:line="0" w:lineRule="atLeast"/>
        <w:jc w:val="center"/>
        <w:rPr>
          <w:rFonts w:eastAsia="方正小标宋简体"/>
          <w:bCs/>
          <w:sz w:val="44"/>
          <w:szCs w:val="32"/>
        </w:rPr>
      </w:pPr>
      <w:r>
        <w:rPr>
          <w:rFonts w:hint="eastAsia" w:eastAsia="方正小标宋简体"/>
          <w:bCs/>
          <w:sz w:val="44"/>
          <w:szCs w:val="32"/>
        </w:rPr>
        <w:t>互联网新闻宣传和政务服务项目支出绩效自评打分表</w:t>
      </w:r>
    </w:p>
    <w:tbl>
      <w:tblPr>
        <w:tblStyle w:val="6"/>
        <w:tblpPr w:leftFromText="180" w:rightFromText="180" w:vertAnchor="text" w:horzAnchor="page" w:tblpX="1201" w:tblpY="383"/>
        <w:tblW w:w="10412" w:type="dxa"/>
        <w:tblInd w:w="0" w:type="dxa"/>
        <w:tblLayout w:type="fixed"/>
        <w:tblCellMar>
          <w:top w:w="0" w:type="dxa"/>
          <w:left w:w="108" w:type="dxa"/>
          <w:bottom w:w="0" w:type="dxa"/>
          <w:right w:w="108" w:type="dxa"/>
        </w:tblCellMar>
      </w:tblPr>
      <w:tblGrid>
        <w:gridCol w:w="846"/>
        <w:gridCol w:w="971"/>
        <w:gridCol w:w="1143"/>
        <w:gridCol w:w="1091"/>
        <w:gridCol w:w="499"/>
        <w:gridCol w:w="716"/>
        <w:gridCol w:w="1953"/>
        <w:gridCol w:w="1975"/>
        <w:gridCol w:w="1218"/>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3"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91"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71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953"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75"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调研报告</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2</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1</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5"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C11.数量指标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C111.宣传习近平新时代中国特色社会主义思想</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ascii="宋体" w:hAnsi="宋体" w:cs="宋体"/>
                <w:color w:val="000000"/>
                <w:kern w:val="0"/>
                <w:sz w:val="18"/>
                <w:szCs w:val="18"/>
              </w:rPr>
              <w:t>突出做好习近平新时代中国特色社会主义思想以及十九大和十九届历次全会精神宣传，聚焦主题主线，围绕中国共产党成立100周年、“十四五”开局等主题开展宣传</w:t>
            </w:r>
            <w:r>
              <w:rPr>
                <w:rFonts w:hint="eastAsia" w:ascii="宋体" w:hAnsi="宋体" w:cs="宋体"/>
                <w:color w:val="000000"/>
                <w:kern w:val="0"/>
                <w:sz w:val="18"/>
                <w:szCs w:val="18"/>
              </w:rPr>
              <w:t>。</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全部处理，得满分；每降低1%，扣权重的3%，扣完为止。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实际统计数据</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C112维护“中国昆明”政务网，发布政务公开信息</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做好“中国昆明”政务网主站建设维护，运行管理及栏目策划、内容组织、信息采编审核发布。</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全部及时处理，得满分；存在一次未及时处理的，扣权重的10%，扣完为止。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实际统计数据</w:t>
            </w:r>
          </w:p>
        </w:tc>
      </w:tr>
      <w:tr>
        <w:tblPrEx>
          <w:tblCellMar>
            <w:top w:w="0" w:type="dxa"/>
            <w:left w:w="108" w:type="dxa"/>
            <w:bottom w:w="0" w:type="dxa"/>
            <w:right w:w="108" w:type="dxa"/>
          </w:tblCellMar>
        </w:tblPrEx>
        <w:trPr>
          <w:trHeight w:val="8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C113..对省市重要中心工作、重点项目、热点话题开展宣传报道</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紧扣市委、市政府中心工作，充分发挥互联网传播优势，旗帜鲜明地唱响主旋律，围绕讲好昆明故事、传播春城声音、塑造城市形象，创新宣传方法手段、拓展宣传平台渠道、为昆明的改革发展稳定营造良好的网上舆论环境。</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全部合格，得满分；存在一次超标，扣权重的10%，扣完为止。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rPr>
          <w:trHeight w:val="70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C114.编发英文、缅文多语种稿件</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充分利用英文、缅文多语种采编优势，不断创新外宣传播形式和手段，拓宽面向南亚东南亚国家网络传播渠道，为讲好中国故事、传播云南声音、塑造春城形象提供有力支撑。</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全部合格，得满分；存在一日超标，扣权重的1%，扣完为止。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C12.质量指标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C121.内容准确率</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牢牢守住党的新闻舆论阵地，围绕习近平新时代中国特色社会主义思想以及中国共产党建党1</w:t>
            </w:r>
            <w:r>
              <w:rPr>
                <w:rFonts w:ascii="宋体" w:hAnsi="宋体" w:cs="宋体"/>
                <w:color w:val="000000"/>
                <w:kern w:val="0"/>
                <w:sz w:val="18"/>
                <w:szCs w:val="18"/>
              </w:rPr>
              <w:t>00周年</w:t>
            </w:r>
            <w:r>
              <w:rPr>
                <w:rFonts w:hint="eastAsia" w:ascii="宋体" w:hAnsi="宋体" w:cs="宋体"/>
                <w:color w:val="000000"/>
                <w:kern w:val="0"/>
                <w:sz w:val="18"/>
                <w:szCs w:val="18"/>
              </w:rPr>
              <w:t>主线开展新闻宣传和舆论引导工作，“零差错零批评”做好了全国两会及习近平总书记重要活动重要讲话等重大主题报道。</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全部处置，得满分；每降低1%，扣权重的3%，扣完为止。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C122.内容发布及时性</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kern w:val="0"/>
                <w:sz w:val="18"/>
                <w:szCs w:val="18"/>
              </w:rPr>
              <w:t>及时落实各级宣传指令，网上主旋律、正能量充盈，信息生产“零事故”。</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全部及时处置，得满分；存在一次未及时处置的扣权重的10%，扣完为止。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实际完成工作</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C211.坚持正确舆论导向，坚持正面宣传为主，为昆明社会经济发展营造良好舆论氛围</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坚决以“举旗帜 聚民心 育新人 兴文化 展形象”为指引，唱响主旋律、传播正能量，讲好昆滇故事，加快构建舆论引导新格局，打好新闻舆论工作主动仗。</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全部完成，得满分；存在一次不能满足的情况，扣权重的30%，扣完为止。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取得实际效益</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kern w:val="0"/>
                <w:sz w:val="18"/>
                <w:szCs w:val="18"/>
              </w:rPr>
              <w:t>C22.满意度指标</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C221.服务对象满意度</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15　</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kern w:val="0"/>
                <w:sz w:val="18"/>
                <w:szCs w:val="18"/>
              </w:rPr>
              <w:t>2021年省互联网新闻信息服务单位社会效益考核评价为优。</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低于55%，得满分；每增加1%，扣权重的10%，扣完为止。</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取得实际效益</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1"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91"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716"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98.5分</w:t>
            </w:r>
          </w:p>
        </w:tc>
        <w:tc>
          <w:tcPr>
            <w:tcW w:w="1953"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975"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18" w:type="dxa"/>
            <w:tcBorders>
              <w:top w:val="nil"/>
              <w:left w:val="nil"/>
              <w:bottom w:val="single" w:color="auto" w:sz="4" w:space="0"/>
              <w:right w:val="single" w:color="auto" w:sz="4" w:space="0"/>
            </w:tcBorders>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rPr>
          <w:rFonts w:ascii="方正小标宋_GBK" w:eastAsia="方正小标宋_GBK"/>
          <w:sz w:val="28"/>
          <w:szCs w:val="28"/>
        </w:rPr>
      </w:pPr>
    </w:p>
    <w:p>
      <w:pPr>
        <w:widowControl/>
        <w:rPr>
          <w:rFonts w:hint="eastAsia" w:ascii="楷体_GB2312" w:eastAsia="楷体_GB2312"/>
          <w:sz w:val="32"/>
          <w:szCs w:val="32"/>
        </w:rPr>
      </w:pPr>
      <w:r>
        <w:rPr>
          <w:rFonts w:hint="eastAsia" w:ascii="楷体_GB2312" w:eastAsia="楷体_GB2312"/>
          <w:sz w:val="32"/>
          <w:szCs w:val="32"/>
        </w:rPr>
        <w:t>项目三：</w:t>
      </w:r>
    </w:p>
    <w:p>
      <w:pPr>
        <w:spacing w:line="0" w:lineRule="atLeast"/>
        <w:jc w:val="center"/>
        <w:rPr>
          <w:rFonts w:hint="eastAsia" w:eastAsia="方正小标宋简体"/>
          <w:bCs/>
          <w:sz w:val="44"/>
          <w:szCs w:val="32"/>
        </w:rPr>
      </w:pPr>
      <w:r>
        <w:rPr>
          <w:rFonts w:hint="eastAsia" w:eastAsia="方正小标宋简体"/>
          <w:bCs/>
          <w:sz w:val="44"/>
          <w:szCs w:val="32"/>
        </w:rPr>
        <w:t>《看昆明》外宣杂志编辑出版补助项目支出绩效评分表</w:t>
      </w:r>
    </w:p>
    <w:tbl>
      <w:tblPr>
        <w:tblStyle w:val="6"/>
        <w:tblW w:w="11325" w:type="dxa"/>
        <w:jc w:val="center"/>
        <w:tblLayout w:type="autofit"/>
        <w:tblCellMar>
          <w:top w:w="0" w:type="dxa"/>
          <w:left w:w="108" w:type="dxa"/>
          <w:bottom w:w="0" w:type="dxa"/>
          <w:right w:w="108" w:type="dxa"/>
        </w:tblCellMar>
      </w:tblPr>
      <w:tblGrid>
        <w:gridCol w:w="846"/>
        <w:gridCol w:w="944"/>
        <w:gridCol w:w="1110"/>
        <w:gridCol w:w="1060"/>
        <w:gridCol w:w="489"/>
        <w:gridCol w:w="437"/>
        <w:gridCol w:w="2153"/>
        <w:gridCol w:w="2046"/>
        <w:gridCol w:w="1497"/>
        <w:gridCol w:w="743"/>
      </w:tblGrid>
      <w:tr>
        <w:tblPrEx>
          <w:tblCellMar>
            <w:top w:w="0" w:type="dxa"/>
            <w:left w:w="108" w:type="dxa"/>
            <w:bottom w:w="0" w:type="dxa"/>
            <w:right w:w="108" w:type="dxa"/>
          </w:tblCellMar>
        </w:tblPrEx>
        <w:trPr>
          <w:trHeight w:val="517"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44"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60"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89"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437"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2153"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2046"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497" w:type="dxa"/>
            <w:tcBorders>
              <w:top w:val="single" w:color="auto" w:sz="4" w:space="0"/>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c>
          <w:tcPr>
            <w:tcW w:w="743" w:type="dxa"/>
            <w:tcBorders>
              <w:top w:val="single" w:color="auto" w:sz="4" w:space="0"/>
              <w:left w:val="nil"/>
              <w:bottom w:val="single" w:color="auto" w:sz="4" w:space="0"/>
              <w:right w:val="single" w:color="auto" w:sz="4" w:space="0"/>
            </w:tcBorders>
            <w:noWrap w:val="0"/>
            <w:vAlign w:val="center"/>
          </w:tcPr>
          <w:p>
            <w:pPr>
              <w:widowControl/>
              <w:spacing w:line="0" w:lineRule="atLeast"/>
              <w:rPr>
                <w:rFonts w:hint="eastAsia" w:ascii="宋体" w:hAnsi="宋体" w:cs="宋体"/>
                <w:b/>
                <w:bCs/>
                <w:color w:val="000000"/>
                <w:kern w:val="0"/>
                <w:sz w:val="18"/>
                <w:szCs w:val="18"/>
              </w:rPr>
            </w:pPr>
          </w:p>
        </w:tc>
      </w:tr>
      <w:tr>
        <w:tblPrEx>
          <w:tblCellMar>
            <w:top w:w="0" w:type="dxa"/>
            <w:left w:w="108" w:type="dxa"/>
            <w:bottom w:w="0" w:type="dxa"/>
            <w:right w:w="108" w:type="dxa"/>
          </w:tblCellMar>
        </w:tblPrEx>
        <w:trPr>
          <w:trHeight w:val="862" w:hRule="atLeast"/>
          <w:jc w:val="center"/>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rPr>
          <w:trHeight w:val="100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市政府相关规划、决策、批复</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部门职责文件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调研报告</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76"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9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61"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3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89" w:hRule="atLeast"/>
          <w:jc w:val="center"/>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rPr>
          <w:trHeight w:val="776"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预算调整文件</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rPr>
          <w:trHeight w:val="117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34"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2</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2183"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2046" w:type="dxa"/>
            <w:tcBorders>
              <w:top w:val="nil"/>
              <w:left w:val="nil"/>
              <w:bottom w:val="single" w:color="auto" w:sz="4" w:space="0"/>
              <w:right w:val="single" w:color="auto" w:sz="4" w:space="0"/>
            </w:tcBorders>
            <w:noWrap w:val="0"/>
            <w:vAlign w:val="top"/>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1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1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49"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34"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905"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8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合同、现场调查</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台账记录</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　1</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88" w:hRule="atLeast"/>
          <w:jc w:val="center"/>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C11.数量指标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C111.年出版期数</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12</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考察杂志每年出版期数为12期</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出满12期得满分；每少出期，扣1分。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杂志出版工作台账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90"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C112.每期杂志页数</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6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考察每期杂志是否达到预订的120页。</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达到120页，得满分；每少一页扣0.1分，扣完为止。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杂志出版工作台账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1178"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C12.质量指标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C121.差错率</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4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考察杂志错差率不超过万分之三</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考察杂志每1万文字，差错数量不多于3处，超过此标准的，每处扣0.1分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新闻出版总署《图书质量管理规定》</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47"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C122.印刷质量</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4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考察杂志印刷质量，印刷或装订不得出现明显瑕疵或差错</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无瑕疵或差错，得满分；存在一次扣1分，扣完为止。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《书刊印刷标准》</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C13.时效指标</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C131.杂志发行效率</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2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考察杂志是否在较短时间内发行到位。</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及时完成，得满分；完成但不及时，得权重的50%；未完成，不得分。</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发行工作报告</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r>
      <w:tr>
        <w:tblPrEx>
          <w:tblCellMar>
            <w:top w:w="0" w:type="dxa"/>
            <w:left w:w="108" w:type="dxa"/>
            <w:bottom w:w="0" w:type="dxa"/>
            <w:right w:w="108" w:type="dxa"/>
          </w:tblCellMar>
        </w:tblPrEx>
        <w:trPr>
          <w:trHeight w:val="339"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C211.读者满意度</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　</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考察杂志读者对杂志内容、印刷、发行工作是否满意。</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全面无投诉得满分；存在一次投诉的情况，扣权重的30%，扣完为止。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报表、会议纪要、访谈</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color w:val="000000"/>
                <w:kern w:val="0"/>
                <w:sz w:val="18"/>
                <w:szCs w:val="18"/>
              </w:rPr>
            </w:pPr>
          </w:p>
        </w:tc>
      </w:tr>
      <w:tr>
        <w:trPr>
          <w:trHeight w:val="902" w:hRule="atLeast"/>
          <w:jc w:val="center"/>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944"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C22.生态效益</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C221.杂志印刷是否采用环保材料，达到环保要求</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15</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　15</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考察杂志印刷工作是否达到环保要求。</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达到环保要求得满分；每增加1%，如出现未使用环保材料的，每出现一次扣1分，扣完为止。</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r>
              <w:rPr>
                <w:rFonts w:hint="eastAsia" w:ascii="宋体" w:hAnsi="宋体" w:cs="宋体"/>
                <w:color w:val="000000"/>
                <w:kern w:val="0"/>
                <w:sz w:val="18"/>
                <w:szCs w:val="18"/>
              </w:rPr>
              <w:t>杂志印刷工作台账</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color w:val="000000"/>
                <w:kern w:val="0"/>
                <w:sz w:val="18"/>
                <w:szCs w:val="18"/>
              </w:rPr>
            </w:pPr>
          </w:p>
        </w:tc>
      </w:tr>
      <w:tr>
        <w:tblPrEx>
          <w:tblCellMar>
            <w:top w:w="0" w:type="dxa"/>
            <w:left w:w="108" w:type="dxa"/>
            <w:bottom w:w="0" w:type="dxa"/>
            <w:right w:w="108" w:type="dxa"/>
          </w:tblCellMar>
        </w:tblPrEx>
        <w:trPr>
          <w:trHeight w:val="517"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44"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1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60"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89"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43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98分</w:t>
            </w:r>
          </w:p>
        </w:tc>
        <w:tc>
          <w:tcPr>
            <w:tcW w:w="2153"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2046"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497" w:type="dxa"/>
            <w:tcBorders>
              <w:top w:val="nil"/>
              <w:left w:val="nil"/>
              <w:bottom w:val="single" w:color="auto" w:sz="4" w:space="0"/>
              <w:right w:val="single" w:color="auto" w:sz="4" w:space="0"/>
            </w:tcBorders>
            <w:noWrap w:val="0"/>
            <w:vAlign w:val="center"/>
          </w:tcPr>
          <w:p>
            <w:pPr>
              <w:widowControl/>
              <w:spacing w:line="0" w:lineRule="atLeas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743" w:type="dxa"/>
            <w:tcBorders>
              <w:top w:val="nil"/>
              <w:left w:val="nil"/>
              <w:bottom w:val="single" w:color="auto" w:sz="4" w:space="0"/>
              <w:right w:val="single" w:color="auto" w:sz="4" w:space="0"/>
            </w:tcBorders>
            <w:noWrap w:val="0"/>
            <w:vAlign w:val="center"/>
          </w:tcPr>
          <w:p>
            <w:pPr>
              <w:widowControl/>
              <w:spacing w:line="0" w:lineRule="atLeast"/>
              <w:rPr>
                <w:rFonts w:hint="eastAsia" w:ascii="宋体" w:hAnsi="宋体" w:cs="宋体"/>
                <w:b/>
                <w:bCs/>
                <w:color w:val="000000"/>
                <w:kern w:val="0"/>
                <w:sz w:val="18"/>
                <w:szCs w:val="18"/>
              </w:rPr>
            </w:pPr>
          </w:p>
        </w:tc>
      </w:tr>
    </w:tbl>
    <w:p>
      <w:pPr>
        <w:rPr>
          <w:rFonts w:ascii="方正小标宋_GBK" w:eastAsia="方正小标宋_GBK"/>
          <w:sz w:val="28"/>
          <w:szCs w:val="28"/>
        </w:rPr>
      </w:pPr>
    </w:p>
    <w:p>
      <w:pPr>
        <w:rPr>
          <w:rFonts w:hint="eastAsia" w:ascii="楷体_GB2312" w:eastAsia="楷体_GB2312"/>
          <w:sz w:val="32"/>
          <w:szCs w:val="32"/>
        </w:rPr>
      </w:pPr>
      <w:r>
        <w:rPr>
          <w:rFonts w:ascii="方正小标宋_GBK" w:eastAsia="方正小标宋_GBK"/>
          <w:sz w:val="32"/>
          <w:szCs w:val="32"/>
        </w:rPr>
        <w:br w:type="page"/>
      </w:r>
      <w:r>
        <w:rPr>
          <w:rFonts w:hint="eastAsia" w:ascii="楷体_GB2312" w:eastAsia="楷体_GB2312"/>
          <w:sz w:val="32"/>
          <w:szCs w:val="32"/>
        </w:rPr>
        <w:t>项目四：</w:t>
      </w:r>
    </w:p>
    <w:p>
      <w:pPr>
        <w:spacing w:line="0" w:lineRule="atLeast"/>
        <w:jc w:val="center"/>
        <w:rPr>
          <w:rFonts w:hint="eastAsia" w:eastAsia="方正小标宋简体"/>
          <w:bCs/>
          <w:sz w:val="44"/>
          <w:szCs w:val="32"/>
        </w:rPr>
      </w:pPr>
      <w:r>
        <w:rPr>
          <w:rFonts w:hint="eastAsia" w:eastAsia="方正小标宋简体"/>
          <w:bCs/>
          <w:sz w:val="44"/>
          <w:szCs w:val="32"/>
        </w:rPr>
        <w:t>“牢记嘱托 砥砺奋进”——昆明市经济社会发展回顾与展望主题展项目支出绩效</w:t>
      </w:r>
    </w:p>
    <w:p>
      <w:pPr>
        <w:spacing w:line="0" w:lineRule="atLeast"/>
        <w:jc w:val="center"/>
        <w:rPr>
          <w:rFonts w:hint="eastAsia" w:eastAsia="方正小标宋简体"/>
          <w:bCs/>
          <w:sz w:val="44"/>
          <w:szCs w:val="32"/>
        </w:rPr>
      </w:pPr>
      <w:r>
        <w:rPr>
          <w:rFonts w:hint="eastAsia" w:eastAsia="方正小标宋简体"/>
          <w:bCs/>
          <w:sz w:val="44"/>
          <w:szCs w:val="32"/>
        </w:rPr>
        <w:t>评价表</w:t>
      </w:r>
    </w:p>
    <w:tbl>
      <w:tblPr>
        <w:tblStyle w:val="6"/>
        <w:tblpPr w:leftFromText="180" w:rightFromText="180" w:vertAnchor="text" w:horzAnchor="page" w:tblpX="1201" w:tblpY="3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71"/>
        <w:gridCol w:w="1143"/>
        <w:gridCol w:w="1091"/>
        <w:gridCol w:w="499"/>
        <w:gridCol w:w="568"/>
        <w:gridCol w:w="2101"/>
        <w:gridCol w:w="197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3"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9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6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210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75"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5" w:type="dxa"/>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1</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C11.数量指标完成情况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C111.观展人数</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观展人数不低于100万人次</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昆明市各县（市）区开发度假区干部职工居民广泛观展得满分；参观人数未达标，适当扣分，参与度不高，不得分。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观展单位、团体、市民参观预约登记表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C12.质量指标完成情况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C121.文图声光电实物的全媒体展示</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是否是全媒体展示</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该展览实现了文图声光电实物的全媒体展示得满分；否则，不得分。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项目全媒体呈现视频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C13.时效指标完成情况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C131.展览设计制作完成情况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是否按时完成布展</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2021年7月20日-9月25日期间完成布展的满分；未按期完成，不得分。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C132.展览展出情况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是否按时间要求展览</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2021年9月26日-11月30日期间进行展览展出得满分；未按要求完成，不得分。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场地服务合同及补充协议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pPr>
          </w:p>
          <w:p>
            <w:pPr>
              <w:pStyle w:val="8"/>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C14.成本指标完成情况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C141.全案创意设计及展览内容制作情况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内容设计制作是否达到要求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内容设计制作达到工作要求得满分；未达到，不得分。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中共昆明市委宣传部下发的工作方案、项目全案创意设计执行方案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pStyle w:val="8"/>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C142.室内主展区布展情况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室内主展区布展是否达到要求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室内主展区布展要达到工作要求得满分；未达到，不得分。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中共昆明市委宣传部下发的工作方案、项目全案创意设计执行方案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pStyle w:val="8"/>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C143.室内主展区多媒体集成一体化服务情况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室内主产区是否采用多媒体</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室内主展区多媒体集成一体化达到工作要求得满分；未达到，不得分。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中共昆明市委宣传部下发的工作方案、项目全案创意设计执行方案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pStyle w:val="8"/>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C144.室外互动展区布展情况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室外互动展区是否达到要求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室外互动展区达到工作要求，实现了展出和互动得满分；未达到，不得分。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中共昆明市委宣传部下发的工作方案、项目室外展陈创意设计方案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pStyle w:val="8"/>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C145.网上展厅设计制作情况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网上展厅设计制作是附达到要求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网上展厅实现了多媒体数字化展现各部分内容得满分；未达到，不得分。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中共昆明市委宣传部下发的工作方案、项目网上展厅设计方案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pStyle w:val="8"/>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C146.市博物馆场地安保、保洁、疫情防控等各类费用</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市博物馆相关工作是否达到要求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市博物馆场地安保、保洁、疫情防控等达到布展要求得满分；未达到，不得分。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与市博物馆签订的合同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C211.全市广大党员领导干部和各族人民群众的观展情况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是否达到了提振精气神的效果</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展览有效提振广大党员领导干部和各族人民群众的精气神得满分；未达到，不得分。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观展人数、观展照片、线上展厅阅览数、参与度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C22.可持续影响指标</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C221.展览持续展出2个月以上</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展览展出时间是否符合标准</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展览得到充分展出，达到预期效果得满分；未达到，不得分。</w:t>
            </w:r>
          </w:p>
        </w:tc>
        <w:tc>
          <w:tcPr>
            <w:tcW w:w="1218" w:type="dxa"/>
            <w:noWrap w:val="0"/>
            <w:vAlign w:val="center"/>
          </w:tcPr>
          <w:p>
            <w:pPr>
              <w:pStyle w:val="8"/>
              <w:rPr>
                <w:rFonts w:ascii="宋体" w:hAnsi="宋体" w:cs="宋体"/>
                <w:sz w:val="18"/>
                <w:szCs w:val="18"/>
              </w:rPr>
            </w:pPr>
            <w:r>
              <w:rPr>
                <w:rFonts w:hint="eastAsia" w:ascii="宋体" w:hAnsi="宋体" w:cs="宋体"/>
                <w:sz w:val="18"/>
                <w:szCs w:val="18"/>
              </w:rPr>
              <w:t>为满足广大市民需求，展览延期1个月至12月30日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46" w:type="dxa"/>
            <w:noWrap w:val="0"/>
            <w:vAlign w:val="center"/>
          </w:tcPr>
          <w:p>
            <w:pPr>
              <w:widowControl/>
              <w:rPr>
                <w:rFonts w:ascii="宋体" w:hAnsi="宋体" w:cs="宋体"/>
                <w:color w:val="000000"/>
                <w:kern w:val="0"/>
                <w:sz w:val="18"/>
                <w:szCs w:val="18"/>
              </w:rPr>
            </w:pPr>
          </w:p>
        </w:tc>
        <w:tc>
          <w:tcPr>
            <w:tcW w:w="971" w:type="dxa"/>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C23.服务对象满意度指标</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全市广大干部群众满意度</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全市广大干部是否满意</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全市广大干部群众对展览展出效果满意得满分；部分满意，适当扣分；大部分不满意，不得分。</w:t>
            </w:r>
          </w:p>
        </w:tc>
        <w:tc>
          <w:tcPr>
            <w:tcW w:w="1218" w:type="dxa"/>
            <w:noWrap w:val="0"/>
            <w:vAlign w:val="center"/>
          </w:tcPr>
          <w:p>
            <w:pPr>
              <w:pStyle w:val="8"/>
            </w:pPr>
            <w:r>
              <w:rPr>
                <w:rFonts w:hint="eastAsia" w:ascii="宋体" w:hAnsi="宋体" w:cs="宋体"/>
                <w:color w:val="000000"/>
                <w:kern w:val="0"/>
                <w:sz w:val="18"/>
                <w:szCs w:val="18"/>
              </w:rPr>
              <w:t>观展人数、观展照片、线上展厅阅览数、参与度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3"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9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56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99分</w:t>
            </w:r>
          </w:p>
        </w:tc>
        <w:tc>
          <w:tcPr>
            <w:tcW w:w="210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975"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1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rPr>
          <w:rFonts w:ascii="方正小标宋_GBK" w:eastAsia="方正小标宋_GBK"/>
          <w:sz w:val="28"/>
          <w:szCs w:val="28"/>
        </w:rPr>
      </w:pPr>
    </w:p>
    <w:p>
      <w:pPr>
        <w:rPr>
          <w:rFonts w:hint="eastAsia" w:ascii="楷体_GB2312" w:eastAsia="楷体_GB2312"/>
          <w:sz w:val="32"/>
          <w:szCs w:val="32"/>
        </w:rPr>
      </w:pPr>
      <w:r>
        <w:rPr>
          <w:rFonts w:hint="eastAsia" w:ascii="楷体_GB2312" w:eastAsia="楷体_GB2312"/>
          <w:sz w:val="32"/>
          <w:szCs w:val="32"/>
        </w:rPr>
        <w:br w:type="page"/>
      </w:r>
      <w:r>
        <w:rPr>
          <w:rFonts w:hint="eastAsia" w:ascii="楷体_GB2312" w:eastAsia="楷体_GB2312"/>
          <w:sz w:val="32"/>
          <w:szCs w:val="32"/>
        </w:rPr>
        <w:t>项目五：</w:t>
      </w:r>
    </w:p>
    <w:p>
      <w:pPr>
        <w:spacing w:line="0" w:lineRule="atLeast"/>
        <w:jc w:val="center"/>
        <w:rPr>
          <w:rFonts w:hint="eastAsia" w:eastAsia="方正小标宋简体"/>
          <w:bCs/>
          <w:sz w:val="44"/>
          <w:szCs w:val="32"/>
        </w:rPr>
      </w:pPr>
      <w:r>
        <w:rPr>
          <w:rFonts w:hint="eastAsia" w:eastAsia="方正小标宋简体"/>
          <w:bCs/>
          <w:sz w:val="44"/>
          <w:szCs w:val="32"/>
        </w:rPr>
        <w:t>昆明市滇池保护治理整治教育展示馆改造布展项目支出绩效评价表</w:t>
      </w:r>
    </w:p>
    <w:tbl>
      <w:tblPr>
        <w:tblStyle w:val="6"/>
        <w:tblpPr w:leftFromText="180" w:rightFromText="180" w:vertAnchor="text" w:horzAnchor="page" w:tblpX="1201" w:tblpY="3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71"/>
        <w:gridCol w:w="1143"/>
        <w:gridCol w:w="1091"/>
        <w:gridCol w:w="499"/>
        <w:gridCol w:w="568"/>
        <w:gridCol w:w="2101"/>
        <w:gridCol w:w="197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一级</w:t>
            </w:r>
          </w:p>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3"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9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499"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56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210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75"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6"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考察项目是否符合市政府相关发展规划和政府决策</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6"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中共昆明市委宣传部下发的工作方案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5" w:type="dxa"/>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1</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C1.项目产出（30%）</w:t>
            </w: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C11.数量指标完成情况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C111.参与队伍</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组织全省各地州（市）有关部门主要负责同志、县（市、区）党政主要负责同志到展示馆进行集中观展。</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参与队伍=40次，达标得满分；不达标，不得分。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媒体报道及现场统计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C112.观展场次</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组织全省各地州（市）有关部门主要负责同志、县（市、区）党政主要负责同志到展示馆进行集中观展。</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观展场次=50次，达标得满分；不达标，不得分。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媒体报道及现场统计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C113.覆盖人数</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组织全省各地州（市）有关部门主要负责同志、县（市、区）党政主要负责同志到展示馆进行集中观展。</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覆盖人数&gt;=2000人，达标得满分；不达标，不得分。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媒体报道及现场统计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C12宣介完成情况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C121.宣介内容展示</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是否通过总体规划、改造提升、创意布展、宣传推广等系列措施，着力将昆明市滇池保护治理整治教育展示馆打造成宣介习近平生态文明思想、展示滇池生态环境保护治理的工作阵地。</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达标得满分；需继续提升优化可适当扣分；未达标，不得分。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项目全案创意设计执行方案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C13.时效指标完成情况</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C131.第一阶段改造布展完成情况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10月1日制定印发改造布展总体工作方案；现场踏勘项目场地，拟定展览总体结构；拟定布展详细设计方案及展陈大纲并按程序报审。10月8日前完成建设并接受上级部门验收。</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10月1日至10月7日完成布展得满分；未按期完成，不得分。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项目全案创意设计执行方案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C132.提升及内容更新情况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10月8日后正式开展，投入运营。</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10月8至10月15日完成得满分；未达标：扣20分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项目全案创意设计执行方案、提升改造设计执行方案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C133.现场调研、集中观展、教育现场会等完成情况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10月8日后根据情况提升布展方案，进行内容优化更新。</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10月16日12月31日完成得满分；未达标：扣20分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项目全案创意设计执行方案、提升改造设计执行方案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C21.社会效益指标</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C211.第一阶段改造布展的工作成效</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着力将昆明市滇池保护治理整治教育展示馆打造成宣介习近平生态文明思想、展示滇池生态环境保护治理的工作阵地。</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工作成效达标得满分；未达到，不得分。</w:t>
            </w:r>
          </w:p>
        </w:tc>
        <w:tc>
          <w:tcPr>
            <w:tcW w:w="121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媒体报道、学习教育成效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restart"/>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C22.可持续影响指标</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C221.昆明滇池保护治理及整改工作情况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　</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昆明滇池保护治理及整改工作第一阶段改造布展完成，取得显著效果。</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效果明显提高得满分；未达到，不得分。</w:t>
            </w:r>
          </w:p>
        </w:tc>
        <w:tc>
          <w:tcPr>
            <w:tcW w:w="1218" w:type="dxa"/>
            <w:noWrap w:val="0"/>
            <w:vAlign w:val="center"/>
          </w:tcPr>
          <w:p>
            <w:pPr>
              <w:pStyle w:val="8"/>
              <w:rPr>
                <w:rFonts w:ascii="宋体" w:hAnsi="宋体" w:cs="宋体"/>
                <w:sz w:val="18"/>
                <w:szCs w:val="18"/>
              </w:rPr>
            </w:pPr>
            <w:r>
              <w:rPr>
                <w:rFonts w:hint="eastAsia" w:ascii="宋体" w:hAnsi="宋体" w:cs="宋体"/>
                <w:sz w:val="18"/>
                <w:szCs w:val="18"/>
              </w:rPr>
              <w:t>省委省政府、省人大常委会、省政协分别召开通报会并进行现场实地调研；国家发改委工作组进行现场调研。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C222.集中观展，学习教育持续走向深入情况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省、市相关部门主要负责同志观展学习</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持续强化学习教育达标：满分；未达标：扣20分</w:t>
            </w:r>
          </w:p>
        </w:tc>
        <w:tc>
          <w:tcPr>
            <w:tcW w:w="1218" w:type="dxa"/>
            <w:noWrap w:val="0"/>
            <w:vAlign w:val="center"/>
          </w:tcPr>
          <w:p>
            <w:pPr>
              <w:pStyle w:val="8"/>
              <w:rPr>
                <w:rFonts w:ascii="宋体" w:hAnsi="宋体" w:cs="宋体"/>
                <w:sz w:val="18"/>
                <w:szCs w:val="18"/>
              </w:rPr>
            </w:pPr>
            <w:r>
              <w:rPr>
                <w:rFonts w:hint="eastAsia" w:ascii="宋体" w:hAnsi="宋体" w:cs="宋体"/>
                <w:sz w:val="18"/>
                <w:szCs w:val="18"/>
              </w:rPr>
              <w:t>全省各地州（市）相继组织到展示馆进行了集中观展；市委、市政府召开滇池沿岸违规违建整治工作警示教育现场会。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46" w:type="dxa"/>
            <w:vMerge w:val="continue"/>
            <w:noWrap w:val="0"/>
            <w:vAlign w:val="center"/>
          </w:tcPr>
          <w:p>
            <w:pPr>
              <w:widowControl/>
              <w:rPr>
                <w:rFonts w:ascii="宋体" w:hAnsi="宋体" w:cs="宋体"/>
                <w:color w:val="000000"/>
                <w:kern w:val="0"/>
                <w:sz w:val="18"/>
                <w:szCs w:val="18"/>
              </w:rPr>
            </w:pPr>
          </w:p>
        </w:tc>
        <w:tc>
          <w:tcPr>
            <w:tcW w:w="971" w:type="dxa"/>
            <w:vMerge w:val="continue"/>
            <w:noWrap w:val="0"/>
            <w:vAlign w:val="center"/>
          </w:tcPr>
          <w:p>
            <w:pPr>
              <w:widowControl/>
              <w:rPr>
                <w:rFonts w:ascii="宋体" w:hAnsi="宋体" w:cs="宋体"/>
                <w:color w:val="000000"/>
                <w:kern w:val="0"/>
                <w:sz w:val="18"/>
                <w:szCs w:val="18"/>
              </w:rPr>
            </w:pPr>
          </w:p>
        </w:tc>
        <w:tc>
          <w:tcPr>
            <w:tcW w:w="1143" w:type="dxa"/>
            <w:vMerge w:val="continue"/>
            <w:noWrap w:val="0"/>
            <w:vAlign w:val="center"/>
          </w:tcPr>
          <w:p>
            <w:pPr>
              <w:widowControl/>
              <w:rPr>
                <w:rFonts w:ascii="宋体" w:hAnsi="宋体" w:cs="宋体"/>
                <w:color w:val="000000"/>
                <w:kern w:val="0"/>
                <w:sz w:val="18"/>
                <w:szCs w:val="18"/>
              </w:rPr>
            </w:pP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C223.建设成果情况</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全面客观展示此次环保督查环滇池沿岸整改工作成效，反应近年来特别是“十三五”时期滇池保护治理及整改布展成效。</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生态文明示范性强达标：满分；未达标：不得分</w:t>
            </w:r>
          </w:p>
        </w:tc>
        <w:tc>
          <w:tcPr>
            <w:tcW w:w="1218" w:type="dxa"/>
            <w:noWrap w:val="0"/>
            <w:vAlign w:val="center"/>
          </w:tcPr>
          <w:p>
            <w:pPr>
              <w:pStyle w:val="8"/>
              <w:rPr>
                <w:rFonts w:ascii="宋体" w:hAnsi="宋体" w:cs="宋体"/>
                <w:sz w:val="18"/>
                <w:szCs w:val="18"/>
              </w:rPr>
            </w:pPr>
            <w:r>
              <w:rPr>
                <w:rFonts w:hint="eastAsia" w:ascii="宋体" w:hAnsi="宋体" w:cs="宋体"/>
                <w:color w:val="000000"/>
                <w:kern w:val="0"/>
                <w:sz w:val="18"/>
                <w:szCs w:val="18"/>
              </w:rPr>
              <w:t>项目全案创意设计执行方案、提升改造设计执行方案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46" w:type="dxa"/>
            <w:noWrap w:val="0"/>
            <w:vAlign w:val="center"/>
          </w:tcPr>
          <w:p>
            <w:pPr>
              <w:widowControl/>
              <w:rPr>
                <w:rFonts w:ascii="宋体" w:hAnsi="宋体" w:cs="宋体"/>
                <w:color w:val="000000"/>
                <w:kern w:val="0"/>
                <w:sz w:val="18"/>
                <w:szCs w:val="18"/>
              </w:rPr>
            </w:pPr>
          </w:p>
        </w:tc>
        <w:tc>
          <w:tcPr>
            <w:tcW w:w="97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C3.项目满意度指标（30%）</w:t>
            </w:r>
          </w:p>
        </w:tc>
        <w:tc>
          <w:tcPr>
            <w:tcW w:w="1143"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C23.服务对象满意度指标</w:t>
            </w:r>
          </w:p>
        </w:tc>
        <w:tc>
          <w:tcPr>
            <w:tcW w:w="109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全省各地州（市）满意度</w:t>
            </w:r>
          </w:p>
        </w:tc>
        <w:tc>
          <w:tcPr>
            <w:tcW w:w="499"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w:t>
            </w:r>
          </w:p>
        </w:tc>
        <w:tc>
          <w:tcPr>
            <w:tcW w:w="568"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10</w:t>
            </w:r>
          </w:p>
        </w:tc>
        <w:tc>
          <w:tcPr>
            <w:tcW w:w="2101"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服务对象深刻领会、认真贯彻落实中央生态环境保护督查组合省委、省政府关于生态环境保护工作的重要决策部署，通过观展学习，深刻认识到昆明市生态文件建设的重要性合必要性。</w:t>
            </w:r>
          </w:p>
        </w:tc>
        <w:tc>
          <w:tcPr>
            <w:tcW w:w="1975" w:type="dxa"/>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满意得满分；部分满意，适当扣分；大部分不满意，不得分。</w:t>
            </w:r>
          </w:p>
        </w:tc>
        <w:tc>
          <w:tcPr>
            <w:tcW w:w="1218" w:type="dxa"/>
            <w:noWrap w:val="0"/>
            <w:vAlign w:val="center"/>
          </w:tcPr>
          <w:p>
            <w:pPr>
              <w:pStyle w:val="8"/>
            </w:pPr>
            <w:r>
              <w:rPr>
                <w:rFonts w:hint="eastAsia"/>
                <w:sz w:val="18"/>
                <w:szCs w:val="18"/>
              </w:rPr>
              <w:t>实际调研、观展及教育成果。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3"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9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499"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56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99分</w:t>
            </w:r>
          </w:p>
        </w:tc>
        <w:tc>
          <w:tcPr>
            <w:tcW w:w="2101"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975"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18" w:type="dxa"/>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pPr>
        <w:rPr>
          <w:rFonts w:ascii="方正小标宋_GBK" w:eastAsia="方正小标宋_GBK"/>
          <w:sz w:val="28"/>
          <w:szCs w:val="28"/>
        </w:rPr>
      </w:pPr>
    </w:p>
    <w:p>
      <w:pPr>
        <w:rPr>
          <w:rFonts w:hint="eastAsia" w:ascii="楷体_GB2312" w:eastAsia="楷体_GB2312"/>
          <w:sz w:val="32"/>
          <w:szCs w:val="32"/>
        </w:rPr>
      </w:pPr>
      <w:r>
        <w:rPr>
          <w:rFonts w:hint="eastAsia" w:ascii="楷体_GB2312" w:eastAsia="楷体_GB2312"/>
          <w:sz w:val="32"/>
          <w:szCs w:val="32"/>
        </w:rPr>
        <w:br w:type="page"/>
      </w:r>
      <w:r>
        <w:rPr>
          <w:rFonts w:hint="eastAsia" w:ascii="楷体_GB2312" w:eastAsia="楷体_GB2312"/>
          <w:sz w:val="32"/>
          <w:szCs w:val="32"/>
        </w:rPr>
        <w:t>项目六：</w:t>
      </w:r>
    </w:p>
    <w:p>
      <w:pPr>
        <w:spacing w:line="0" w:lineRule="atLeast"/>
        <w:jc w:val="center"/>
        <w:rPr>
          <w:rFonts w:hint="eastAsia" w:eastAsia="方正小标宋简体"/>
          <w:bCs/>
          <w:sz w:val="44"/>
          <w:szCs w:val="32"/>
        </w:rPr>
      </w:pPr>
      <w:r>
        <w:rPr>
          <w:rFonts w:hint="eastAsia" w:eastAsia="方正小标宋简体"/>
          <w:bCs/>
          <w:sz w:val="44"/>
          <w:szCs w:val="32"/>
        </w:rPr>
        <w:t>中央补助地方公共文化服务体系建设资金</w:t>
      </w:r>
    </w:p>
    <w:p>
      <w:pPr>
        <w:spacing w:line="0" w:lineRule="atLeast"/>
        <w:jc w:val="center"/>
        <w:rPr>
          <w:rFonts w:hint="eastAsia" w:eastAsia="方正小标宋简体"/>
          <w:bCs/>
          <w:sz w:val="44"/>
          <w:szCs w:val="32"/>
        </w:rPr>
      </w:pPr>
      <w:r>
        <w:rPr>
          <w:rFonts w:hint="eastAsia" w:eastAsia="方正小标宋简体"/>
          <w:bCs/>
          <w:sz w:val="44"/>
          <w:szCs w:val="32"/>
        </w:rPr>
        <w:t>（县级融媒体中心建设项目）项目支出绩效评价评分表</w:t>
      </w:r>
    </w:p>
    <w:p>
      <w:pPr>
        <w:rPr>
          <w:rFonts w:ascii="仿宋_GB2312" w:hAnsi="仿宋_GB2312" w:eastAsia="仿宋_GB2312" w:cs="仿宋_GB2312"/>
          <w:sz w:val="32"/>
          <w:szCs w:val="32"/>
        </w:rPr>
      </w:pPr>
    </w:p>
    <w:tbl>
      <w:tblPr>
        <w:tblStyle w:val="6"/>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69"/>
        <w:gridCol w:w="1142"/>
        <w:gridCol w:w="1025"/>
        <w:gridCol w:w="564"/>
        <w:gridCol w:w="646"/>
        <w:gridCol w:w="2032"/>
        <w:gridCol w:w="1972"/>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一级</w:t>
            </w:r>
          </w:p>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指标</w:t>
            </w:r>
          </w:p>
        </w:tc>
        <w:tc>
          <w:tcPr>
            <w:tcW w:w="969"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二级指标</w:t>
            </w:r>
          </w:p>
        </w:tc>
        <w:tc>
          <w:tcPr>
            <w:tcW w:w="1142"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三级指标</w:t>
            </w:r>
          </w:p>
        </w:tc>
        <w:tc>
          <w:tcPr>
            <w:tcW w:w="1025"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四级指标</w:t>
            </w:r>
          </w:p>
        </w:tc>
        <w:tc>
          <w:tcPr>
            <w:tcW w:w="564"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分值</w:t>
            </w:r>
          </w:p>
        </w:tc>
        <w:tc>
          <w:tcPr>
            <w:tcW w:w="646"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得分</w:t>
            </w:r>
          </w:p>
        </w:tc>
        <w:tc>
          <w:tcPr>
            <w:tcW w:w="2032"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指标解释</w:t>
            </w:r>
          </w:p>
        </w:tc>
        <w:tc>
          <w:tcPr>
            <w:tcW w:w="1972"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评分标准</w:t>
            </w:r>
          </w:p>
        </w:tc>
        <w:tc>
          <w:tcPr>
            <w:tcW w:w="1216"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46"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A.项目决策（20%）</w:t>
            </w:r>
          </w:p>
        </w:tc>
        <w:tc>
          <w:tcPr>
            <w:tcW w:w="969"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A1.项目立项（8%）</w:t>
            </w: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A11.与部门中长期规划目标适应性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A111.与部门中长期规划目标匹配性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考察项目与部门中长期目标是否匹配</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匹配，得满分；不匹配，不得分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A12.立项依据充分性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A121.与市政府相关规划、决策匹配性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考察项目是否符合市政府相关发展规划和政府决策</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符合，得满分；不符合，不得分。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市政府相关规划、决策、批复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A122.与部门职责适应性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考察项目是否与部门职责密切相关。</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A13.项目立项规范性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A131.前期调研情况</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考察项目立项是否经过前期调研。</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A132.立项程序规范性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考察项目的申请、设立过程是否符合相关要求。</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A2.项目目标（12%）</w:t>
            </w: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A21.绩效目标设定的合理性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A211.绩效目标相关性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考察设定的绩效目标是否与事业发展规划相关。</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绩效目标申报表、部门规划、年度工作目标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A212.绩效目标完整性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考察设定的绩效目标是否完整地反应预期产出和效果</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绩效目标申报表、年度工作目标、立项申请、批复文件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A213.目标与预算的匹配性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考察设定的绩效目标是否与年度预算相匹配。</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A22.绩效指标设定的明确性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A221.指标细化分解情况</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考察是否将绩效目标细化分解为清晰、可衡量的绩效指标。</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A222.指标与目标的匹配性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考察设定的绩效指标是否与年度工作任务相对应。</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是，得满分；否，不得分。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绩效目标申报表、年度工作任务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B.项目管理（20%）</w:t>
            </w:r>
          </w:p>
        </w:tc>
        <w:tc>
          <w:tcPr>
            <w:tcW w:w="969"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B1.投入管理（4%）</w:t>
            </w: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B11.预算编制合理性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考察预算编制是否充分、合理的预计项目支出并完整反应</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合理得满分；存在一项不合理，扣0.5分，扣完为止</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预算分析、预算批复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B12.预算调整规范性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考察存在预算调整时是否按照相关规定执行调整程序。</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规范，得满分；部分规范，扣0.5分；不规范，不得分。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预算调整文件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B13.预算执行率</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考察项目预算执行的进度。预算执行率=实际支出金额/项目预算金额×100%</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预算执行率95%以上，得满分；低于95%，每下降1%扣权重的1%；预算执行率60%以下，不计分。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B2.财务管理（6%）</w:t>
            </w: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B21.资金使用情况</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考察项目资金使用是否符合预算批复的用途，是否存在截留、挤占、挪用、虚列支出等情况。</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合规，得满分；存在一项不合规，扣1分，扣完为止。</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B22.财务管理制度健全性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考察项目的财务制度是否健全、完善、有效。</w:t>
            </w:r>
          </w:p>
        </w:tc>
        <w:tc>
          <w:tcPr>
            <w:tcW w:w="1972" w:type="dxa"/>
            <w:noWrap w:val="0"/>
            <w:vAlign w:val="top"/>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B23.财务监控有效性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B231.资金拨付程序完整性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考察资金拨付是否具有完整的审批程序和手续，是否符合相关制度规定。</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资金拨付申请、审批手续完整，得满分；存在一例手续不完整，不得分。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支付申请单、支付指令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B232财务制度执行有效性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考察是否存在违反相关财务管理制度的情况。</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不存在，得满分；存在1例，不得分。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财务管理制度、访谈、会计凭证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B3.项目实施（10%）</w:t>
            </w: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B31.项目管理制度健全性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B311.项目实施单位管理制度健全性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项目实施单位为保障项目顺利实施制订的与项目直接相关的业务管理制度是否健全、完善和有效。</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制订相关制度或采取措施，得满分；制度不完善或者措施不明确，得权重的60%；没有相关制度或措施，不得分。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B312.管理方监管措施健全性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考察项目主管部门为保障项目顺利实施采取的监管措施是否明确，是否存在需要完善的风险控制环节。</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监管措施明确、完善，得满分；每存在一项需要完善的风险控制点，扣权重的30%，扣完为止。</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B32.项目管理制度执行有效性</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B321.项目实施单位管理制度执行情况</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考察项目实施单位制订的管理制度是否有效执行。</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有效执行，得满分；部分执行，得权重的60%；未执行，不得分。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B322.监管措施执行情况</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项目主管部门所制订的监管措施是否有效执行。</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有效执行，得满分；部分执行，得权重的60%；未执行，不得分。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B323.合同执行情况</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考察与项目相关的合同是否有效执行。</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有效执行，得满分；部分执行，得权重的60%；未执行，不得分。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合同、现场调查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B324.台账记录规范性</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考察项目实施过程中的相关台账记录是否完整，并符合要求。</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规范，得满分；部分规范，得权重的60%；不规范，不得分。</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46"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C.项目绩效（60%）</w:t>
            </w:r>
          </w:p>
        </w:tc>
        <w:tc>
          <w:tcPr>
            <w:tcW w:w="969"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C1.产出指标（30%）</w:t>
            </w: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C11.数量指标</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C111.省级技术平台建设数量</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完成昆明市省级技术平台建设数量1个，目前已建成并投入使用。</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完成1个昆明市省级技术平台建设，得满分；未完成扣分，扣完为止。</w:t>
            </w:r>
          </w:p>
        </w:tc>
        <w:tc>
          <w:tcPr>
            <w:tcW w:w="1216" w:type="dxa"/>
            <w:noWrap w:val="0"/>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sz w:val="18"/>
                <w:szCs w:val="18"/>
              </w:rPr>
              <w:t>平台截图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C12.质量指标</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C121.地方县域重大事件县级融媒体中心首报率</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32" w:type="dxa"/>
            <w:noWrap w:val="0"/>
            <w:vAlign w:val="center"/>
          </w:tcPr>
          <w:p>
            <w:pPr>
              <w:widowControl/>
              <w:rPr>
                <w:rFonts w:ascii="仿宋_GB2312" w:hAnsi="仿宋_GB2312" w:eastAsia="仿宋_GB2312" w:cs="仿宋_GB2312"/>
                <w:strike/>
                <w:sz w:val="18"/>
                <w:szCs w:val="18"/>
              </w:rPr>
            </w:pPr>
            <w:r>
              <w:rPr>
                <w:rFonts w:hint="eastAsia" w:ascii="仿宋_GB2312" w:hAnsi="仿宋_GB2312" w:eastAsia="仿宋_GB2312" w:cs="仿宋_GB2312"/>
                <w:sz w:val="18"/>
                <w:szCs w:val="18"/>
              </w:rPr>
              <w:t>地方县域重大事件县级融媒体中心首报率≥70%。</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70%及以上，得满分；未达到扣分，扣完为止。</w:t>
            </w:r>
          </w:p>
        </w:tc>
        <w:tc>
          <w:tcPr>
            <w:tcW w:w="1216" w:type="dxa"/>
            <w:noWrap w:val="0"/>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sz w:val="18"/>
                <w:szCs w:val="18"/>
              </w:rPr>
              <w:t>综合评估分析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continue"/>
            <w:noWrap w:val="0"/>
            <w:vAlign w:val="center"/>
          </w:tcPr>
          <w:p>
            <w:pPr>
              <w:widowControl/>
              <w:rPr>
                <w:rFonts w:ascii="仿宋_GB2312" w:hAnsi="仿宋_GB2312" w:eastAsia="仿宋_GB2312" w:cs="仿宋_GB2312"/>
                <w:sz w:val="18"/>
                <w:szCs w:val="18"/>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C122.通过云南省县级融媒体中心省级验收</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32" w:type="dxa"/>
            <w:noWrap w:val="0"/>
            <w:vAlign w:val="center"/>
          </w:tcPr>
          <w:p>
            <w:pPr>
              <w:widowControl/>
              <w:rPr>
                <w:rFonts w:ascii="仿宋_GB2312" w:hAnsi="仿宋_GB2312" w:eastAsia="仿宋_GB2312" w:cs="仿宋_GB2312"/>
                <w:strike/>
                <w:sz w:val="18"/>
                <w:szCs w:val="18"/>
              </w:rPr>
            </w:pPr>
            <w:r>
              <w:rPr>
                <w:rFonts w:hint="eastAsia" w:ascii="仿宋_GB2312" w:hAnsi="仿宋_GB2312" w:eastAsia="仿宋_GB2312" w:cs="仿宋_GB2312"/>
                <w:sz w:val="18"/>
                <w:szCs w:val="18"/>
              </w:rPr>
              <w:t>按“云南省县级融媒体中心省级验收评分表”进行考核打分，得分≥80分。</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80分及以上，得满分；未达到扣分，扣完为止。</w:t>
            </w:r>
          </w:p>
        </w:tc>
        <w:tc>
          <w:tcPr>
            <w:tcW w:w="1216" w:type="dxa"/>
            <w:noWrap w:val="0"/>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sz w:val="18"/>
                <w:szCs w:val="18"/>
              </w:rPr>
              <w:t>“云南省县级融媒体中心省级验收评分表”考核打分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vMerge w:val="continue"/>
            <w:noWrap w:val="0"/>
            <w:vAlign w:val="center"/>
          </w:tcPr>
          <w:p>
            <w:pPr>
              <w:widowControl/>
              <w:rPr>
                <w:rFonts w:ascii="仿宋_GB2312" w:hAnsi="仿宋_GB2312" w:eastAsia="仿宋_GB2312" w:cs="仿宋_GB2312"/>
                <w:sz w:val="18"/>
                <w:szCs w:val="18"/>
              </w:rPr>
            </w:pPr>
          </w:p>
        </w:tc>
        <w:tc>
          <w:tcPr>
            <w:tcW w:w="1142" w:type="dxa"/>
            <w:vMerge w:val="restart"/>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C13.时效指标</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C131.考核评分完成时间</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2021年9月30日前完成考核评分</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2021年9月30日前完成，得满分；未完成扣分，扣完为止。</w:t>
            </w:r>
          </w:p>
        </w:tc>
        <w:tc>
          <w:tcPr>
            <w:tcW w:w="1216" w:type="dxa"/>
            <w:noWrap w:val="0"/>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color w:val="000000"/>
                <w:kern w:val="0"/>
                <w:sz w:val="18"/>
                <w:szCs w:val="18"/>
              </w:rPr>
              <w:t>云南省县级融媒体中心省级验收评分表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46" w:type="dxa"/>
            <w:vMerge w:val="continue"/>
            <w:noWrap w:val="0"/>
            <w:vAlign w:val="center"/>
          </w:tcPr>
          <w:p>
            <w:pPr>
              <w:widowControl/>
              <w:rPr>
                <w:rFonts w:ascii="仿宋_GB2312" w:hAnsi="仿宋_GB2312" w:eastAsia="仿宋_GB2312" w:cs="仿宋_GB2312"/>
              </w:rPr>
            </w:pPr>
          </w:p>
        </w:tc>
        <w:tc>
          <w:tcPr>
            <w:tcW w:w="969" w:type="dxa"/>
            <w:vMerge w:val="continue"/>
            <w:noWrap w:val="0"/>
            <w:vAlign w:val="center"/>
          </w:tcPr>
          <w:p>
            <w:pPr>
              <w:widowControl/>
              <w:rPr>
                <w:rFonts w:ascii="仿宋_GB2312" w:hAnsi="仿宋_GB2312" w:eastAsia="仿宋_GB2312" w:cs="仿宋_GB2312"/>
              </w:rPr>
            </w:pPr>
          </w:p>
        </w:tc>
        <w:tc>
          <w:tcPr>
            <w:tcW w:w="1142" w:type="dxa"/>
            <w:vMerge w:val="continue"/>
            <w:noWrap w:val="0"/>
            <w:vAlign w:val="center"/>
          </w:tcPr>
          <w:p>
            <w:pPr>
              <w:widowControl/>
              <w:rPr>
                <w:rFonts w:ascii="仿宋_GB2312" w:hAnsi="仿宋_GB2312" w:eastAsia="仿宋_GB2312" w:cs="仿宋_GB2312"/>
              </w:rPr>
            </w:pP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C132.省级技术平台单位整改工作完成时间</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2021年12月31日前完成省级技术平台单位整改工作。</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2021年12月31日前完成，得满分；未完成扣分，扣完为止。</w:t>
            </w:r>
          </w:p>
        </w:tc>
        <w:tc>
          <w:tcPr>
            <w:tcW w:w="1216" w:type="dxa"/>
            <w:noWrap w:val="0"/>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color w:val="000000"/>
                <w:kern w:val="0"/>
                <w:sz w:val="18"/>
                <w:szCs w:val="18"/>
              </w:rPr>
              <w:t>云南省县级融媒体中心省级验收评分表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C2.效益指标（15%）</w:t>
            </w: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C21.社会效益</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C211.稳步提升宣传覆盖面</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在县级融媒体中心有效促进基础宣传工作、更好服务党委政府中心工作、更好服务群众生产生活等方面，效果显著提升。</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社会效益显著，得满分；存在问题扣分，扣完为止。</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综合评估分析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46" w:type="dxa"/>
            <w:vMerge w:val="continue"/>
            <w:noWrap w:val="0"/>
            <w:vAlign w:val="center"/>
          </w:tcPr>
          <w:p>
            <w:pPr>
              <w:widowControl/>
              <w:rPr>
                <w:rFonts w:ascii="仿宋_GB2312" w:hAnsi="仿宋_GB2312" w:eastAsia="仿宋_GB2312" w:cs="仿宋_GB2312"/>
                <w:sz w:val="18"/>
                <w:szCs w:val="18"/>
              </w:rPr>
            </w:pPr>
          </w:p>
        </w:tc>
        <w:tc>
          <w:tcPr>
            <w:tcW w:w="969"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C3.满意度指标（15%）</w:t>
            </w:r>
          </w:p>
        </w:tc>
        <w:tc>
          <w:tcPr>
            <w:tcW w:w="114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C31.社会效益</w:t>
            </w:r>
          </w:p>
        </w:tc>
        <w:tc>
          <w:tcPr>
            <w:tcW w:w="1025"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服务对象满意度</w:t>
            </w:r>
          </w:p>
        </w:tc>
        <w:tc>
          <w:tcPr>
            <w:tcW w:w="564"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64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203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本地群众和县区融媒体中心满意度均大于等于80%。</w:t>
            </w:r>
          </w:p>
        </w:tc>
        <w:tc>
          <w:tcPr>
            <w:tcW w:w="1972"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本地群众的认可度、满意度达80%以上，得满分；未达到扣分，扣完为止。</w:t>
            </w:r>
          </w:p>
        </w:tc>
        <w:tc>
          <w:tcPr>
            <w:tcW w:w="1216" w:type="dxa"/>
            <w:noWrap w:val="0"/>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sz w:val="18"/>
                <w:szCs w:val="18"/>
              </w:rPr>
              <w:t>调研调查，综合评估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w:t>
            </w:r>
          </w:p>
        </w:tc>
        <w:tc>
          <w:tcPr>
            <w:tcW w:w="969"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100%</w:t>
            </w:r>
          </w:p>
        </w:tc>
        <w:tc>
          <w:tcPr>
            <w:tcW w:w="1142"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1025"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564"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100分</w:t>
            </w:r>
          </w:p>
        </w:tc>
        <w:tc>
          <w:tcPr>
            <w:tcW w:w="646"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100分</w:t>
            </w:r>
          </w:p>
        </w:tc>
        <w:tc>
          <w:tcPr>
            <w:tcW w:w="2032"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1972"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1216" w:type="dxa"/>
            <w:noWrap w:val="0"/>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bl>
    <w:p/>
    <w:p>
      <w:pPr>
        <w:rPr>
          <w:rFonts w:hint="eastAsia" w:ascii="楷体_GB2312" w:eastAsia="楷体_GB2312"/>
          <w:sz w:val="32"/>
          <w:szCs w:val="32"/>
        </w:rPr>
      </w:pPr>
      <w:r>
        <w:rPr>
          <w:rFonts w:hint="eastAsia" w:ascii="楷体_GB2312" w:eastAsia="楷体_GB2312"/>
          <w:sz w:val="32"/>
          <w:szCs w:val="32"/>
        </w:rPr>
        <w:br w:type="page"/>
      </w:r>
      <w:r>
        <w:rPr>
          <w:rFonts w:hint="eastAsia" w:ascii="楷体_GB2312" w:eastAsia="楷体_GB2312"/>
          <w:sz w:val="32"/>
          <w:szCs w:val="32"/>
        </w:rPr>
        <w:t>项目七：</w:t>
      </w:r>
    </w:p>
    <w:p>
      <w:pPr>
        <w:spacing w:line="0" w:lineRule="atLeast"/>
        <w:jc w:val="center"/>
        <w:rPr>
          <w:rFonts w:hint="eastAsia" w:eastAsia="方正小标宋简体"/>
          <w:bCs/>
          <w:sz w:val="44"/>
          <w:szCs w:val="32"/>
        </w:rPr>
      </w:pPr>
      <w:r>
        <w:rPr>
          <w:rFonts w:hint="eastAsia" w:eastAsia="方正小标宋简体"/>
          <w:bCs/>
          <w:sz w:val="44"/>
          <w:szCs w:val="32"/>
        </w:rPr>
        <w:t>2021年省级财政支持县级融媒体中心建设专项资金（县级融媒体中心建设项目）项目支出绩效评价评分表</w:t>
      </w:r>
    </w:p>
    <w:p>
      <w:pPr>
        <w:spacing w:line="0" w:lineRule="atLeast"/>
        <w:jc w:val="center"/>
        <w:rPr>
          <w:rFonts w:hint="eastAsia" w:eastAsia="方正小标宋简体"/>
          <w:bCs/>
          <w:sz w:val="44"/>
          <w:szCs w:val="32"/>
        </w:rPr>
      </w:pPr>
    </w:p>
    <w:tbl>
      <w:tblPr>
        <w:tblStyle w:val="6"/>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69"/>
        <w:gridCol w:w="1142"/>
        <w:gridCol w:w="1025"/>
        <w:gridCol w:w="564"/>
        <w:gridCol w:w="646"/>
        <w:gridCol w:w="2032"/>
        <w:gridCol w:w="1972"/>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一级</w:t>
            </w:r>
          </w:p>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指标</w:t>
            </w:r>
          </w:p>
        </w:tc>
        <w:tc>
          <w:tcPr>
            <w:tcW w:w="969"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二级指标</w:t>
            </w:r>
          </w:p>
        </w:tc>
        <w:tc>
          <w:tcPr>
            <w:tcW w:w="1142"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三级指标</w:t>
            </w:r>
          </w:p>
        </w:tc>
        <w:tc>
          <w:tcPr>
            <w:tcW w:w="1025"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四级指标</w:t>
            </w:r>
          </w:p>
        </w:tc>
        <w:tc>
          <w:tcPr>
            <w:tcW w:w="564"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分值</w:t>
            </w:r>
          </w:p>
        </w:tc>
        <w:tc>
          <w:tcPr>
            <w:tcW w:w="646"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得分</w:t>
            </w:r>
          </w:p>
        </w:tc>
        <w:tc>
          <w:tcPr>
            <w:tcW w:w="2032"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指标解释</w:t>
            </w:r>
          </w:p>
        </w:tc>
        <w:tc>
          <w:tcPr>
            <w:tcW w:w="1972"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评分标准</w:t>
            </w:r>
          </w:p>
        </w:tc>
        <w:tc>
          <w:tcPr>
            <w:tcW w:w="1216"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46"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A.项目决策（20%）</w:t>
            </w:r>
          </w:p>
        </w:tc>
        <w:tc>
          <w:tcPr>
            <w:tcW w:w="969"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A1.项目立项（8%）</w:t>
            </w: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A11.与部门中长期规划目标适应性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A111.与部门中长期规划目标匹配性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考察项目与部门中长期目标是否匹配</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匹配，得满分；不匹配，不得分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A12.立项依据充分性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A121.与市政府相关规划、决策匹配性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考察项目是否符合市政府相关发展规划和政府决策</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符合，得满分；不符合，不得分。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市政府相关规划、决策、批复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A122.与部门职责适应性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考察项目是否与部门职责密切相关。</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A13.项目立项规范性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A131.前期调研情况</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考察项目立项是否经过前期调研。</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A132.立项程序规范性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考察项目的申请、设立过程是否符合相关要求。</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A2.项目目标（12%）</w:t>
            </w: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A21.绩效目标设定的合理性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A211.绩效目标相关性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考察设定的绩效目标是否与事业发展规划相关。</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绩效目标申报表、部门规划、年度工作目标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A212.绩效目标完整性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考察设定的绩效目标是否完整地反应预期产出和效果</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绩效目标申报表、年度工作目标、立项申请、批复文件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A213.目标与预算的匹配性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考察设定的绩效目标是否与年度预算相匹配。</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A22.绩效指标设定的明确性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A221.指标细化分解情况</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3</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3</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考察是否将绩效目标细化分解为清晰、可衡量的绩效指标。</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A222.指标与目标的匹配性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3</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3</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考察设定的绩效指标是否与年度工作任务相对应。</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是，得满分；否，不得分。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绩效目标申报表、年度工作任务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B.项目管理（20%）</w:t>
            </w:r>
          </w:p>
        </w:tc>
        <w:tc>
          <w:tcPr>
            <w:tcW w:w="969"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B1.投入管理（4%）</w:t>
            </w: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B11.预算编制合理性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　</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考察预算编制是否充分、合理的预计项目支出并完整反应</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合理得满分；存在一项不合理，扣0.5分，扣完为止</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预算分析、预算批复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B12.预算调整规范性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　</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考察存在预算调整时是否按照相关规定执行调整程序。</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规范，得满分；部分规范，扣0.5分；不规范，不得分。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预算调整文件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B13.预算执行率</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　</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考察项目预算执行的进度。预算执行率=实际支出金额/项目预算金额×100%</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预算执行率95%以上，得满分；低于95%，每下降1%扣权重的1%；预算执行率60%以下，不计分。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B2.财务管理（6%）</w:t>
            </w: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B21.资金使用情况</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　</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考察项目资金使用是否符合预算批复的用途，是否存在截留、挤占、挪用、虚列支出等情况。</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合规，得满分；存在一项不合规，扣1分，扣完为止。</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B22.财务管理制度健全性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　</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考察项目的财务制度是否健全、完善、有效。</w:t>
            </w:r>
          </w:p>
        </w:tc>
        <w:tc>
          <w:tcPr>
            <w:tcW w:w="1972" w:type="dxa"/>
            <w:noWrap/>
            <w:vAlign w:val="top"/>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B23.财务监控有效性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B231.资金拨付程序完整性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考察资金拨付是否具有完整的审批程序和手续，是否符合相关制度规定。</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资金拨付申请、审批手续完整，得满分；存在一例手续不完整，不得分。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支付申请单、支付指令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B232财务制度执行有效性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考察是否存在违反相关财务管理制度的情况。</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不存在，得满分；存在1例，不得分。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财务管理制度、访谈、会计凭证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B3.项目实施（10%）</w:t>
            </w: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B31.项目管理制度健全性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B311.项目实施单位管理制度健全性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项目实施单位为保障项目顺利实施制订的与项目直接相关的业务管理制度是否健全、完善和有效。</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制订相关制度或采取措施，得满分；制度不完善或者措施不明确，得权重的60%；没有相关制度或措施，不得分。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B312.管理方监管措施健全性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考察项目主管部门为保障项目顺利实施采取的监管措施是否明确，是否存在需要完善的风险控制环节。</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监管措施明确、完善，得满分；每存在一项需要完善的风险控制点，扣权重的30%，扣完为止。</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B32.项目管理制度执行有效性</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B321.项目实施单位管理制度执行情况</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考察项目实施单位制订的管理制度是否有效执行。</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有效执行，得满分；部分执行，得权重的60%；未执行，不得分。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B322.监管措施执行情况</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项目主管部门所制订的监管措施是否有效执行。</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有效执行，得满分；部分执行，得权重的60%；未执行，不得分。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B323.合同执行情况</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考察与项目相关的合同是否有效执行。</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有效执行，得满分；部分执行，得权重的60%；未执行，不得分。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合同、现场调查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B324.台账记录规范性</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考察项目实施过程中的相关台账记录是否完整，并符合要求。</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规范，得满分；部分规范，得权重的60%；不规范，不得分。</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46"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C.项目绩效（60%）</w:t>
            </w:r>
          </w:p>
        </w:tc>
        <w:tc>
          <w:tcPr>
            <w:tcW w:w="969"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C1.产出指标（30%）</w:t>
            </w: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C11.数量指标</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C111.提升昆明报业传媒集团技术平台运行能力</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12</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12</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有效提升昆明报业传媒集团技术平台运行能力</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全部处理，得满分；未完成扣分，扣完为止。</w:t>
            </w:r>
          </w:p>
        </w:tc>
        <w:tc>
          <w:tcPr>
            <w:tcW w:w="1216" w:type="dxa"/>
            <w:noWrap/>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color w:val="000000"/>
                <w:kern w:val="0"/>
                <w:sz w:val="18"/>
                <w:szCs w:val="18"/>
              </w:rPr>
              <w:t>平台截图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restart"/>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C12.质量指标</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C121.地方县域重大事件县级融媒体中心首报率</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6</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6</w:t>
            </w:r>
          </w:p>
        </w:tc>
        <w:tc>
          <w:tcPr>
            <w:tcW w:w="2032" w:type="dxa"/>
            <w:noWrap/>
            <w:vAlign w:val="center"/>
          </w:tcPr>
          <w:p>
            <w:pPr>
              <w:widowControl/>
              <w:rPr>
                <w:rFonts w:ascii="仿宋_GB2312" w:hAnsi="仿宋_GB2312" w:eastAsia="仿宋_GB2312" w:cs="仿宋_GB2312"/>
                <w:strike/>
                <w:sz w:val="18"/>
                <w:szCs w:val="18"/>
              </w:rPr>
            </w:pPr>
            <w:r>
              <w:rPr>
                <w:rFonts w:hint="eastAsia" w:ascii="仿宋_GB2312" w:hAnsi="仿宋_GB2312" w:eastAsia="仿宋_GB2312" w:cs="仿宋_GB2312"/>
                <w:color w:val="000000"/>
                <w:kern w:val="0"/>
                <w:sz w:val="18"/>
                <w:szCs w:val="18"/>
              </w:rPr>
              <w:t>地方县域重大事件县级融媒体中心首报率≥70%。</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70%及以上，得满分；未完达到扣分，扣完为止。</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综合评估分析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vMerge w:val="continue"/>
            <w:noWrap/>
            <w:vAlign w:val="center"/>
          </w:tcPr>
          <w:p>
            <w:pPr>
              <w:widowControl/>
              <w:rPr>
                <w:rFonts w:ascii="仿宋_GB2312" w:hAnsi="仿宋_GB2312" w:eastAsia="仿宋_GB2312" w:cs="仿宋_GB2312"/>
                <w:sz w:val="18"/>
                <w:szCs w:val="18"/>
              </w:rPr>
            </w:pP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C122.通过云南省县级融媒体中心省级验收</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6</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6</w:t>
            </w:r>
          </w:p>
        </w:tc>
        <w:tc>
          <w:tcPr>
            <w:tcW w:w="2032" w:type="dxa"/>
            <w:noWrap/>
            <w:vAlign w:val="center"/>
          </w:tcPr>
          <w:p>
            <w:pPr>
              <w:widowControl/>
              <w:rPr>
                <w:rFonts w:ascii="仿宋_GB2312" w:hAnsi="仿宋_GB2312" w:eastAsia="仿宋_GB2312" w:cs="仿宋_GB2312"/>
                <w:strike/>
                <w:sz w:val="18"/>
                <w:szCs w:val="18"/>
              </w:rPr>
            </w:pPr>
            <w:r>
              <w:rPr>
                <w:rFonts w:hint="eastAsia" w:ascii="仿宋_GB2312" w:hAnsi="仿宋_GB2312" w:eastAsia="仿宋_GB2312" w:cs="仿宋_GB2312"/>
                <w:color w:val="000000"/>
                <w:kern w:val="0"/>
                <w:sz w:val="18"/>
                <w:szCs w:val="18"/>
              </w:rPr>
              <w:t>按“云南省县级融媒体中心省级验收评分表”进行考核打分，得分≥80分。</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80分及以上，得满分；未达到扣分，扣完为止。</w:t>
            </w:r>
          </w:p>
        </w:tc>
        <w:tc>
          <w:tcPr>
            <w:tcW w:w="1216" w:type="dxa"/>
            <w:noWrap/>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color w:val="000000"/>
                <w:kern w:val="0"/>
                <w:sz w:val="18"/>
                <w:szCs w:val="18"/>
              </w:rPr>
              <w:t>“云南省县级融媒体中心省级验收评分表”考核打分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vMerge w:val="continue"/>
            <w:noWrap/>
            <w:vAlign w:val="center"/>
          </w:tcPr>
          <w:p>
            <w:pPr>
              <w:widowControl/>
              <w:rPr>
                <w:rFonts w:ascii="仿宋_GB2312" w:hAnsi="仿宋_GB2312" w:eastAsia="仿宋_GB2312" w:cs="仿宋_GB2312"/>
                <w:sz w:val="18"/>
                <w:szCs w:val="18"/>
              </w:rPr>
            </w:pP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C13.时效指标</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C131.提升技术平台运行效果</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6</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6</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2021年11月30日前完成技术平台运行效果提升</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2021年11月30日前完成，得满分；未完成扣分，扣完为止。</w:t>
            </w:r>
          </w:p>
        </w:tc>
        <w:tc>
          <w:tcPr>
            <w:tcW w:w="1216" w:type="dxa"/>
            <w:noWrap/>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color w:val="000000"/>
                <w:kern w:val="0"/>
                <w:sz w:val="18"/>
                <w:szCs w:val="18"/>
              </w:rPr>
              <w:t>云南省县级融媒体中心省级验收评分表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C2.效益指标（15%）</w:t>
            </w: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C21.社会效益</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C211.稳步提升宣传覆盖面</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15</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15</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县级融媒体中心有效促进基础宣传工作、更好</w:t>
            </w:r>
          </w:p>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服务党委政府中心工作、更好服务群众生产生活。</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社会效益显著，得满分；存在问题扣分，扣完为止。</w:t>
            </w:r>
          </w:p>
        </w:tc>
        <w:tc>
          <w:tcPr>
            <w:tcW w:w="1216" w:type="dxa"/>
            <w:noWrap/>
            <w:vAlign w:val="center"/>
          </w:tcPr>
          <w:p>
            <w:pPr>
              <w:widowControl/>
              <w:rPr>
                <w:rFonts w:ascii="仿宋_GB2312" w:hAnsi="仿宋_GB2312" w:eastAsia="仿宋_GB2312" w:cs="仿宋_GB2312"/>
                <w:sz w:val="18"/>
                <w:szCs w:val="18"/>
                <w:highlight w:val="green"/>
              </w:rPr>
            </w:pPr>
            <w:r>
              <w:rPr>
                <w:rFonts w:hint="eastAsia" w:ascii="仿宋_GB2312" w:hAnsi="仿宋_GB2312" w:eastAsia="仿宋_GB2312" w:cs="仿宋_GB2312"/>
                <w:color w:val="000000"/>
                <w:kern w:val="0"/>
                <w:sz w:val="18"/>
                <w:szCs w:val="18"/>
              </w:rPr>
              <w:t>综合评估分析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846" w:type="dxa"/>
            <w:vMerge w:val="continue"/>
            <w:noWrap/>
            <w:vAlign w:val="center"/>
          </w:tcPr>
          <w:p>
            <w:pPr>
              <w:widowControl/>
              <w:rPr>
                <w:rFonts w:ascii="仿宋_GB2312" w:hAnsi="仿宋_GB2312" w:eastAsia="仿宋_GB2312" w:cs="仿宋_GB2312"/>
                <w:sz w:val="18"/>
                <w:szCs w:val="18"/>
              </w:rPr>
            </w:pPr>
          </w:p>
        </w:tc>
        <w:tc>
          <w:tcPr>
            <w:tcW w:w="969"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C3.满意度指标（15%）</w:t>
            </w:r>
          </w:p>
        </w:tc>
        <w:tc>
          <w:tcPr>
            <w:tcW w:w="114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C31.社会效益</w:t>
            </w:r>
          </w:p>
        </w:tc>
        <w:tc>
          <w:tcPr>
            <w:tcW w:w="1025"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服务对象满意度</w:t>
            </w:r>
          </w:p>
        </w:tc>
        <w:tc>
          <w:tcPr>
            <w:tcW w:w="564"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15</w:t>
            </w:r>
          </w:p>
        </w:tc>
        <w:tc>
          <w:tcPr>
            <w:tcW w:w="64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15</w:t>
            </w:r>
          </w:p>
        </w:tc>
        <w:tc>
          <w:tcPr>
            <w:tcW w:w="203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本地群众和县区融媒体中心满意度均大于等于80%。</w:t>
            </w:r>
          </w:p>
        </w:tc>
        <w:tc>
          <w:tcPr>
            <w:tcW w:w="1972"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本地群众的认可度、满意度达80%以上，得满分；未达到扣分，扣完为止。</w:t>
            </w:r>
          </w:p>
        </w:tc>
        <w:tc>
          <w:tcPr>
            <w:tcW w:w="1216" w:type="dxa"/>
            <w:noWrap/>
            <w:vAlign w:val="center"/>
          </w:tcPr>
          <w:p>
            <w:pPr>
              <w:widowControl/>
              <w:rPr>
                <w:rFonts w:ascii="仿宋_GB2312" w:hAnsi="仿宋_GB2312" w:eastAsia="仿宋_GB2312" w:cs="仿宋_GB2312"/>
                <w:sz w:val="18"/>
                <w:szCs w:val="18"/>
              </w:rPr>
            </w:pPr>
            <w:r>
              <w:rPr>
                <w:rFonts w:hint="eastAsia" w:ascii="仿宋_GB2312" w:hAnsi="仿宋_GB2312" w:eastAsia="仿宋_GB2312" w:cs="仿宋_GB2312"/>
                <w:color w:val="000000"/>
                <w:kern w:val="0"/>
                <w:sz w:val="18"/>
                <w:szCs w:val="18"/>
              </w:rPr>
              <w:t>调研调查，综合评估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合计</w:t>
            </w:r>
          </w:p>
        </w:tc>
        <w:tc>
          <w:tcPr>
            <w:tcW w:w="969"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100%</w:t>
            </w:r>
          </w:p>
        </w:tc>
        <w:tc>
          <w:tcPr>
            <w:tcW w:w="1142"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　</w:t>
            </w:r>
          </w:p>
        </w:tc>
        <w:tc>
          <w:tcPr>
            <w:tcW w:w="1025"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　</w:t>
            </w:r>
          </w:p>
        </w:tc>
        <w:tc>
          <w:tcPr>
            <w:tcW w:w="564"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100分</w:t>
            </w:r>
          </w:p>
        </w:tc>
        <w:tc>
          <w:tcPr>
            <w:tcW w:w="646"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100分</w:t>
            </w:r>
          </w:p>
        </w:tc>
        <w:tc>
          <w:tcPr>
            <w:tcW w:w="2032"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　</w:t>
            </w:r>
          </w:p>
        </w:tc>
        <w:tc>
          <w:tcPr>
            <w:tcW w:w="1972"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　</w:t>
            </w:r>
          </w:p>
        </w:tc>
        <w:tc>
          <w:tcPr>
            <w:tcW w:w="1216" w:type="dxa"/>
            <w:noWrap/>
            <w:vAlign w:val="center"/>
          </w:tcPr>
          <w:p>
            <w:pPr>
              <w:widowControl/>
              <w:rPr>
                <w:rFonts w:ascii="仿宋_GB2312" w:hAnsi="仿宋_GB2312" w:eastAsia="仿宋_GB2312" w:cs="仿宋_GB2312"/>
                <w:b/>
                <w:bCs/>
                <w:sz w:val="18"/>
                <w:szCs w:val="18"/>
              </w:rPr>
            </w:pPr>
            <w:r>
              <w:rPr>
                <w:rFonts w:hint="eastAsia" w:ascii="仿宋_GB2312" w:hAnsi="仿宋_GB2312" w:eastAsia="仿宋_GB2312" w:cs="仿宋_GB2312"/>
                <w:b/>
                <w:bCs/>
                <w:color w:val="000000"/>
                <w:kern w:val="0"/>
                <w:sz w:val="18"/>
                <w:szCs w:val="18"/>
              </w:rPr>
              <w:t>　</w:t>
            </w:r>
          </w:p>
        </w:tc>
      </w:tr>
    </w:tbl>
    <w:p>
      <w:pPr>
        <w:rPr>
          <w:rFonts w:ascii="方正小标宋_GBK" w:eastAsia="方正小标宋_GBK"/>
          <w:sz w:val="28"/>
          <w:szCs w:val="28"/>
        </w:rPr>
      </w:pPr>
    </w:p>
    <w:p>
      <w:pPr>
        <w:pStyle w:val="9"/>
        <w:keepNext/>
        <w:keepLines/>
        <w:spacing w:after="0" w:line="660" w:lineRule="exact"/>
        <w:jc w:val="both"/>
        <w:rPr>
          <w:rFonts w:ascii="楷体_GB2312" w:eastAsia="楷体_GB2312"/>
          <w:sz w:val="32"/>
          <w:szCs w:val="32"/>
          <w:lang w:eastAsia="zh-CN"/>
        </w:rPr>
      </w:pPr>
      <w:r>
        <w:rPr>
          <w:rFonts w:hint="eastAsia" w:ascii="楷体_GB2312" w:hAnsi="Times New Roman" w:eastAsia="楷体_GB2312"/>
          <w:sz w:val="32"/>
          <w:szCs w:val="32"/>
        </w:rPr>
        <w:br w:type="page"/>
      </w:r>
      <w:r>
        <w:rPr>
          <w:rFonts w:hint="eastAsia" w:ascii="楷体_GB2312" w:hAnsi="Times New Roman" w:eastAsia="楷体_GB2312"/>
          <w:sz w:val="32"/>
          <w:szCs w:val="32"/>
        </w:rPr>
        <w:t>项目</w:t>
      </w:r>
      <w:r>
        <w:rPr>
          <w:rFonts w:hint="eastAsia" w:ascii="楷体_GB2312" w:eastAsia="楷体_GB2312"/>
          <w:sz w:val="32"/>
          <w:szCs w:val="32"/>
          <w:lang w:eastAsia="zh-CN"/>
        </w:rPr>
        <w:t>八：</w:t>
      </w:r>
    </w:p>
    <w:p>
      <w:pPr>
        <w:spacing w:line="0" w:lineRule="atLeast"/>
        <w:jc w:val="center"/>
        <w:rPr>
          <w:rFonts w:hint="eastAsia" w:eastAsia="方正小标宋简体"/>
          <w:bCs/>
          <w:sz w:val="44"/>
          <w:szCs w:val="32"/>
        </w:rPr>
      </w:pPr>
      <w:r>
        <w:rPr>
          <w:rFonts w:hint="eastAsia" w:eastAsia="方正小标宋简体"/>
          <w:bCs/>
          <w:sz w:val="44"/>
          <w:szCs w:val="32"/>
        </w:rPr>
        <w:t>编撰出版书籍《故事里的昆明》项目</w:t>
      </w:r>
    </w:p>
    <w:p>
      <w:pPr>
        <w:spacing w:line="0" w:lineRule="atLeast"/>
        <w:jc w:val="center"/>
        <w:rPr>
          <w:rFonts w:hint="eastAsia" w:eastAsia="方正小标宋简体"/>
          <w:bCs/>
          <w:sz w:val="44"/>
          <w:szCs w:val="32"/>
        </w:rPr>
      </w:pPr>
      <w:r>
        <w:rPr>
          <w:rFonts w:hint="eastAsia" w:eastAsia="方正小标宋简体"/>
          <w:bCs/>
          <w:sz w:val="44"/>
          <w:szCs w:val="32"/>
        </w:rPr>
        <w:t>支出绩效评价表</w:t>
      </w:r>
    </w:p>
    <w:tbl>
      <w:tblPr>
        <w:tblStyle w:val="6"/>
        <w:tblpPr w:leftFromText="180" w:rightFromText="180" w:vertAnchor="text" w:horzAnchor="page" w:tblpX="1201" w:tblpY="383"/>
        <w:tblW w:w="10412" w:type="dxa"/>
        <w:tblInd w:w="0" w:type="dxa"/>
        <w:tblLayout w:type="fixed"/>
        <w:tblCellMar>
          <w:top w:w="0" w:type="dxa"/>
          <w:left w:w="108" w:type="dxa"/>
          <w:bottom w:w="0" w:type="dxa"/>
          <w:right w:w="108" w:type="dxa"/>
        </w:tblCellMar>
      </w:tblPr>
      <w:tblGrid>
        <w:gridCol w:w="846"/>
        <w:gridCol w:w="971"/>
        <w:gridCol w:w="1142"/>
        <w:gridCol w:w="1090"/>
        <w:gridCol w:w="610"/>
        <w:gridCol w:w="578"/>
        <w:gridCol w:w="1981"/>
        <w:gridCol w:w="1976"/>
        <w:gridCol w:w="1218"/>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一级</w:t>
            </w:r>
          </w:p>
        </w:tc>
        <w:tc>
          <w:tcPr>
            <w:tcW w:w="971"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二级指标</w:t>
            </w:r>
          </w:p>
        </w:tc>
        <w:tc>
          <w:tcPr>
            <w:tcW w:w="1142"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三级指标</w:t>
            </w:r>
          </w:p>
        </w:tc>
        <w:tc>
          <w:tcPr>
            <w:tcW w:w="1090"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四级指标</w:t>
            </w:r>
          </w:p>
        </w:tc>
        <w:tc>
          <w:tcPr>
            <w:tcW w:w="610"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分值</w:t>
            </w:r>
          </w:p>
        </w:tc>
        <w:tc>
          <w:tcPr>
            <w:tcW w:w="578"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得分</w:t>
            </w:r>
          </w:p>
        </w:tc>
        <w:tc>
          <w:tcPr>
            <w:tcW w:w="1981"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指标解释</w:t>
            </w:r>
          </w:p>
        </w:tc>
        <w:tc>
          <w:tcPr>
            <w:tcW w:w="1976"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评分标准</w:t>
            </w:r>
          </w:p>
        </w:tc>
        <w:tc>
          <w:tcPr>
            <w:tcW w:w="1218" w:type="dxa"/>
            <w:vMerge w:val="restart"/>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b/>
                <w:color w:val="000000"/>
                <w:kern w:val="0"/>
                <w:sz w:val="18"/>
                <w:szCs w:val="18"/>
              </w:rPr>
              <w:t>指标</w:t>
            </w: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1090" w:type="dxa"/>
            <w:vMerge w:val="continue"/>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610" w:type="dxa"/>
            <w:vMerge w:val="continue"/>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578" w:type="dxa"/>
            <w:vMerge w:val="continue"/>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1981" w:type="dxa"/>
            <w:vMerge w:val="continue"/>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1976" w:type="dxa"/>
            <w:vMerge w:val="continue"/>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1218" w:type="dxa"/>
            <w:vMerge w:val="continue"/>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r>
      <w:tr>
        <w:tblPrEx>
          <w:tblCellMar>
            <w:top w:w="0" w:type="dxa"/>
            <w:left w:w="108" w:type="dxa"/>
            <w:bottom w:w="0" w:type="dxa"/>
            <w:right w:w="108" w:type="dxa"/>
          </w:tblCellMar>
        </w:tblPrEx>
        <w:trPr>
          <w:trHeight w:val="105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部门对项目的规划目标</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考察项目是否符合市委宣传部的相关决策</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市委宣传部的相关决策、批复</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关于编撰图书《故事里的昆明》工作方案</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市委宣传部的批复文件</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90" w:type="dxa"/>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90" w:type="dxa"/>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90" w:type="dxa"/>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90" w:type="dxa"/>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90" w:type="dxa"/>
            <w:tcBorders>
              <w:top w:val="nil"/>
              <w:left w:val="nil"/>
              <w:bottom w:val="single" w:color="auto" w:sz="4" w:space="0"/>
              <w:right w:val="single" w:color="auto" w:sz="4" w:space="0"/>
            </w:tcBorders>
            <w:noWrap w:val="0"/>
            <w:vAlign w:val="center"/>
          </w:tcPr>
          <w:p>
            <w:pPr>
              <w:rPr>
                <w:rFonts w:ascii="宋体" w:hAnsi="宋体" w:cs="宋体"/>
                <w:color w:val="000000"/>
                <w:kern w:val="0"/>
                <w:sz w:val="18"/>
                <w:szCs w:val="18"/>
              </w:rPr>
            </w:pP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6" w:type="dxa"/>
            <w:tcBorders>
              <w:top w:val="nil"/>
              <w:left w:val="nil"/>
              <w:bottom w:val="single" w:color="auto" w:sz="4" w:space="0"/>
              <w:right w:val="single" w:color="auto" w:sz="4" w:space="0"/>
            </w:tcBorders>
            <w:noWrap w:val="0"/>
            <w:vAlign w:val="top"/>
          </w:tcPr>
          <w:p>
            <w:pPr>
              <w:widowControl/>
              <w:textAlignment w:val="top"/>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c.是否存在需要完善的风险控制环节。符合所有条件，得满分；一项不符合，扣0.5分，扣完为止。</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考察采购方式是否符合中央、省、市的相关要求。</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tblPrEx>
          <w:tblCellMar>
            <w:top w:w="0" w:type="dxa"/>
            <w:left w:w="108" w:type="dxa"/>
            <w:bottom w:w="0" w:type="dxa"/>
            <w:right w:w="108" w:type="dxa"/>
          </w:tblCellMar>
        </w:tblPrEx>
        <w:trPr>
          <w:trHeight w:val="12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C.项目绩效（60%）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C1.项目完成情况（30%）</w:t>
            </w: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C11.数量指标完成情况</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C111.撰写昆明故事数量100个</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是否撰写昆明故事数量100个</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全部完成，得满分；未完成一个扣1，未完成10个以上扣5分。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出版书籍《故事里的昆明》</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C12.数量指标完成情况</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C121.每个昆明故事撰写字数≥2400字</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每个昆明故事撰写字数是否达标</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全部达标，得满分；未达标10个以上扣5分。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出版书籍《故事里的昆明》</w:t>
            </w:r>
          </w:p>
        </w:tc>
      </w:tr>
      <w:tr>
        <w:tblPrEx>
          <w:tblCellMar>
            <w:top w:w="0" w:type="dxa"/>
            <w:left w:w="108" w:type="dxa"/>
            <w:bottom w:w="0" w:type="dxa"/>
            <w:right w:w="108" w:type="dxa"/>
          </w:tblCellMar>
        </w:tblPrEx>
        <w:trPr>
          <w:trHeight w:val="8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C13.数量指标完成情况</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C131.每个故事配图≥1张</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每个故事是否配图</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全部配图，得满分；未完成，不得分。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出版书籍《故事里的昆明》</w:t>
            </w:r>
          </w:p>
        </w:tc>
      </w:tr>
      <w:tr>
        <w:tblPrEx>
          <w:tblCellMar>
            <w:top w:w="0" w:type="dxa"/>
            <w:left w:w="108" w:type="dxa"/>
            <w:bottom w:w="0" w:type="dxa"/>
            <w:right w:w="108" w:type="dxa"/>
          </w:tblCellMar>
        </w:tblPrEx>
        <w:trPr>
          <w:trHeight w:val="70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C14.数量指标完成情况</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C141.首批以内部资料形式印刷册数为500册</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首批以内部资料形式印刷册是否为500册</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完成得满分；未完成，不得分。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图书印刷合同</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C15.数量指标完成情况</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C151.公开印刷发行册数为3000册</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是否公开印刷发行3000册</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完成得满分；未完成，不得分。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图书出版合同</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C16.数量指标完成情况</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C161.在都市时报报纸和APP上刊发100个故事</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是否刊发了100个故事</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完成得满分；未完成，不得分。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《都市时报》和都市时报客户端</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C2.项目效益（30%）</w:t>
            </w: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C211.阅读图书和传播人数</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（按1：7传播比例）≥2万人次</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完成得满分；未完成，不得分。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本图书实际印刷册数达到3500册，实际阅读和传播人数为24500人</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C22.社会效益</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C221.专业评价</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（专家评价、评论文章和媒体报道）≥20件次</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完成得满分；未完成，不得分。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本图书刊发相关专业评价共计26篇</w:t>
            </w:r>
          </w:p>
        </w:tc>
      </w:tr>
      <w:tr>
        <w:tblPrEx>
          <w:tblCellMar>
            <w:top w:w="0" w:type="dxa"/>
            <w:left w:w="108" w:type="dxa"/>
            <w:bottom w:w="0" w:type="dxa"/>
            <w:right w:w="108" w:type="dxa"/>
          </w:tblCellMar>
        </w:tblPrEx>
        <w:trPr>
          <w:trHeight w:val="27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C23.可持发展和影响指标</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新媒体平台对100个故事传播阅读量</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≥30万人次</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≥30万人次得满分；低于10万人次不得分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被新华网、人民网、云南网、昆明信息港、掌上春城、都市时报APP等平台转载阅读，全平台阅读量超过500万次</w:t>
            </w:r>
          </w:p>
        </w:tc>
      </w:tr>
      <w:tr>
        <w:tblPrEx>
          <w:tblCellMar>
            <w:top w:w="0" w:type="dxa"/>
            <w:left w:w="108" w:type="dxa"/>
            <w:bottom w:w="0" w:type="dxa"/>
            <w:right w:w="108" w:type="dxa"/>
          </w:tblCellMar>
        </w:tblPrEx>
        <w:trPr>
          <w:trHeight w:val="23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18"/>
                <w:szCs w:val="18"/>
              </w:rPr>
            </w:pPr>
          </w:p>
        </w:tc>
        <w:tc>
          <w:tcPr>
            <w:tcW w:w="1142"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C24.社会公众或服务对象满意度</w:t>
            </w:r>
          </w:p>
        </w:tc>
        <w:tc>
          <w:tcPr>
            <w:tcW w:w="109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读者和网友阅读满意率</w:t>
            </w: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98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≥95%（含）</w:t>
            </w:r>
          </w:p>
        </w:tc>
        <w:tc>
          <w:tcPr>
            <w:tcW w:w="1976"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≥95%（含）得满分；低于95%-90%（含扣2分，低于90%（含以下扣4分，低于50%（含）不得分</w:t>
            </w:r>
          </w:p>
        </w:tc>
        <w:tc>
          <w:tcPr>
            <w:tcW w:w="121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color w:val="000000"/>
                <w:kern w:val="0"/>
                <w:sz w:val="18"/>
                <w:szCs w:val="18"/>
              </w:rPr>
            </w:pPr>
            <w:r>
              <w:rPr>
                <w:rFonts w:hint="eastAsia" w:ascii="宋体" w:hAnsi="宋体" w:cs="宋体"/>
                <w:color w:val="000000"/>
                <w:kern w:val="0"/>
                <w:sz w:val="18"/>
                <w:szCs w:val="18"/>
              </w:rPr>
              <w:t>实际采访中读者和网友阅读满意度达到94%以上</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合计</w:t>
            </w:r>
          </w:p>
        </w:tc>
        <w:tc>
          <w:tcPr>
            <w:tcW w:w="971"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100%</w:t>
            </w:r>
          </w:p>
        </w:tc>
        <w:tc>
          <w:tcPr>
            <w:tcW w:w="1142" w:type="dxa"/>
            <w:tcBorders>
              <w:top w:val="nil"/>
              <w:left w:val="nil"/>
              <w:bottom w:val="single" w:color="auto" w:sz="4" w:space="0"/>
              <w:right w:val="single" w:color="auto" w:sz="4" w:space="0"/>
            </w:tcBorders>
            <w:noWrap w:val="0"/>
            <w:vAlign w:val="center"/>
          </w:tcPr>
          <w:p>
            <w:pPr>
              <w:rPr>
                <w:rFonts w:ascii="宋体" w:hAnsi="宋体" w:cs="宋体"/>
                <w:b/>
                <w:bCs/>
                <w:color w:val="000000"/>
                <w:kern w:val="0"/>
                <w:sz w:val="18"/>
                <w:szCs w:val="18"/>
              </w:rPr>
            </w:pPr>
          </w:p>
        </w:tc>
        <w:tc>
          <w:tcPr>
            <w:tcW w:w="1090" w:type="dxa"/>
            <w:tcBorders>
              <w:top w:val="nil"/>
              <w:left w:val="nil"/>
              <w:bottom w:val="single" w:color="auto" w:sz="4" w:space="0"/>
              <w:right w:val="single" w:color="auto" w:sz="4" w:space="0"/>
            </w:tcBorders>
            <w:noWrap w:val="0"/>
            <w:vAlign w:val="center"/>
          </w:tcPr>
          <w:p>
            <w:pPr>
              <w:rPr>
                <w:rFonts w:ascii="宋体" w:hAnsi="宋体" w:cs="宋体"/>
                <w:b/>
                <w:bCs/>
                <w:color w:val="000000"/>
                <w:kern w:val="0"/>
                <w:sz w:val="18"/>
                <w:szCs w:val="18"/>
              </w:rPr>
            </w:pPr>
          </w:p>
        </w:tc>
        <w:tc>
          <w:tcPr>
            <w:tcW w:w="610"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100分</w:t>
            </w:r>
          </w:p>
        </w:tc>
        <w:tc>
          <w:tcPr>
            <w:tcW w:w="578" w:type="dxa"/>
            <w:tcBorders>
              <w:top w:val="nil"/>
              <w:left w:val="nil"/>
              <w:bottom w:val="single" w:color="auto" w:sz="4" w:space="0"/>
              <w:right w:val="single" w:color="auto" w:sz="4" w:space="0"/>
            </w:tcBorders>
            <w:noWrap w:val="0"/>
            <w:vAlign w:val="center"/>
          </w:tcPr>
          <w:p>
            <w:pPr>
              <w:widowControl/>
              <w:textAlignment w:val="center"/>
              <w:rPr>
                <w:rFonts w:ascii="宋体" w:hAnsi="宋体" w:cs="宋体"/>
                <w:b/>
                <w:bCs/>
                <w:color w:val="000000"/>
                <w:kern w:val="0"/>
                <w:sz w:val="18"/>
                <w:szCs w:val="18"/>
              </w:rPr>
            </w:pPr>
            <w:r>
              <w:rPr>
                <w:rFonts w:hint="eastAsia" w:ascii="宋体" w:hAnsi="宋体" w:cs="宋体"/>
                <w:b/>
                <w:color w:val="000000"/>
                <w:kern w:val="0"/>
                <w:sz w:val="18"/>
                <w:szCs w:val="18"/>
              </w:rPr>
              <w:t>98分</w:t>
            </w:r>
          </w:p>
        </w:tc>
        <w:tc>
          <w:tcPr>
            <w:tcW w:w="1981" w:type="dxa"/>
            <w:tcBorders>
              <w:top w:val="nil"/>
              <w:left w:val="nil"/>
              <w:bottom w:val="single" w:color="auto" w:sz="4" w:space="0"/>
              <w:right w:val="single" w:color="auto" w:sz="4" w:space="0"/>
            </w:tcBorders>
            <w:noWrap w:val="0"/>
            <w:vAlign w:val="center"/>
          </w:tcPr>
          <w:p>
            <w:pPr>
              <w:rPr>
                <w:rFonts w:ascii="宋体" w:hAnsi="宋体" w:cs="宋体"/>
                <w:b/>
                <w:bCs/>
                <w:color w:val="000000"/>
                <w:kern w:val="0"/>
                <w:sz w:val="18"/>
                <w:szCs w:val="18"/>
              </w:rPr>
            </w:pPr>
          </w:p>
        </w:tc>
        <w:tc>
          <w:tcPr>
            <w:tcW w:w="1976" w:type="dxa"/>
            <w:tcBorders>
              <w:top w:val="nil"/>
              <w:left w:val="nil"/>
              <w:bottom w:val="single" w:color="auto" w:sz="4" w:space="0"/>
              <w:right w:val="single" w:color="auto" w:sz="4" w:space="0"/>
            </w:tcBorders>
            <w:noWrap w:val="0"/>
            <w:vAlign w:val="center"/>
          </w:tcPr>
          <w:p>
            <w:pPr>
              <w:rPr>
                <w:rFonts w:ascii="宋体" w:hAnsi="宋体" w:cs="宋体"/>
                <w:b/>
                <w:bCs/>
                <w:color w:val="000000"/>
                <w:kern w:val="0"/>
                <w:sz w:val="18"/>
                <w:szCs w:val="18"/>
              </w:rPr>
            </w:pPr>
          </w:p>
        </w:tc>
        <w:tc>
          <w:tcPr>
            <w:tcW w:w="1218" w:type="dxa"/>
            <w:tcBorders>
              <w:top w:val="nil"/>
              <w:left w:val="nil"/>
              <w:bottom w:val="single" w:color="auto" w:sz="4" w:space="0"/>
              <w:right w:val="single" w:color="auto" w:sz="4" w:space="0"/>
            </w:tcBorders>
            <w:noWrap w:val="0"/>
            <w:vAlign w:val="center"/>
          </w:tcPr>
          <w:p>
            <w:pPr>
              <w:rPr>
                <w:rFonts w:ascii="宋体" w:hAnsi="宋体" w:cs="宋体"/>
                <w:b/>
                <w:bCs/>
                <w:color w:val="000000"/>
                <w:kern w:val="0"/>
                <w:sz w:val="18"/>
                <w:szCs w:val="18"/>
              </w:rPr>
            </w:pPr>
          </w:p>
        </w:tc>
      </w:tr>
    </w:tbl>
    <w:p>
      <w:pPr>
        <w:rPr>
          <w:rFonts w:ascii="楷体_GB2312" w:eastAsia="楷体_GB2312"/>
          <w:sz w:val="32"/>
          <w:szCs w:val="32"/>
        </w:rPr>
      </w:pPr>
    </w:p>
    <w:p/>
    <w:p>
      <w:pPr>
        <w:pStyle w:val="8"/>
        <w:spacing w:line="560" w:lineRule="exact"/>
        <w:rPr>
          <w:sz w:val="32"/>
          <w:szCs w:val="32"/>
        </w:rPr>
      </w:pPr>
    </w:p>
    <w:p>
      <w:pPr>
        <w:pStyle w:val="8"/>
        <w:spacing w:line="560" w:lineRule="exact"/>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楷体简体">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114300" distR="114300" simplePos="0" relativeHeight="251659264" behindDoc="1" locked="0" layoutInCell="1" allowOverlap="1">
              <wp:simplePos x="0" y="0"/>
              <wp:positionH relativeFrom="page">
                <wp:posOffset>3843655</wp:posOffset>
              </wp:positionH>
              <wp:positionV relativeFrom="page">
                <wp:posOffset>9808845</wp:posOffset>
              </wp:positionV>
              <wp:extent cx="43815" cy="908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3815" cy="90805"/>
                      </a:xfrm>
                      <a:prstGeom prst="rect">
                        <a:avLst/>
                      </a:prstGeom>
                      <a:noFill/>
                      <a:ln>
                        <a:noFill/>
                      </a:ln>
                      <a:effectLst/>
                    </wps:spPr>
                    <wps:txbx>
                      <w:txbxContent>
                        <w:p>
                          <w:pPr>
                            <w:pStyle w:val="11"/>
                          </w:pPr>
                          <w:r>
                            <w:t>5</w:t>
                          </w:r>
                        </w:p>
                      </w:txbxContent>
                    </wps:txbx>
                    <wps:bodyPr wrap="none" lIns="0" tIns="0" rIns="0" bIns="0">
                      <a:spAutoFit/>
                    </wps:bodyPr>
                  </wps:wsp>
                </a:graphicData>
              </a:graphic>
            </wp:anchor>
          </w:drawing>
        </mc:Choice>
        <mc:Fallback>
          <w:pict>
            <v:shape id="_x0000_s1026" o:spid="_x0000_s1026" o:spt="202" type="#_x0000_t202" style="position:absolute;left:0pt;margin-left:302.65pt;margin-top:772.35pt;height:7.15pt;width:3.45pt;mso-position-horizontal-relative:page;mso-position-vertical-relative:page;mso-wrap-style:none;z-index:-251657216;mso-width-relative:page;mso-height-relative:page;" filled="f" stroked="f" coordsize="21600,21600" o:gfxdata="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ZJ6n2AAAAA0BAAAPAAAAAAAAAAEAIAAAACIAAABkcnMv&#10;ZG93bnJldi54bWxQSwECFAAUAAAACACHTuJA9YJqjMoBAACXAwAADgAAAAAAAAABACAAAAAnAQAA&#10;ZHJzL2Uyb0RvYy54bWxQSwUGAAAAAAYABgBZAQAAYwUAAAAA&#10;">
              <v:fill on="f" focussize="0,0"/>
              <v:stroke on="f"/>
              <v:imagedata o:title=""/>
              <o:lock v:ext="edit" aspectratio="f"/>
              <v:textbox inset="0mm,0mm,0mm,0mm" style="mso-fit-shape-to-text:t;">
                <w:txbxContent>
                  <w:p>
                    <w:pPr>
                      <w:pStyle w:val="11"/>
                    </w:pPr>
                    <w:r>
                      <w:t>5</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38622"/>
    <w:multiLevelType w:val="singleLevel"/>
    <w:tmpl w:val="B3C38622"/>
    <w:lvl w:ilvl="0" w:tentative="0">
      <w:start w:val="5"/>
      <w:numFmt w:val="chineseCounting"/>
      <w:suff w:val="nothing"/>
      <w:lvlText w:val="（%1）"/>
      <w:lvlJc w:val="left"/>
      <w:rPr>
        <w:rFonts w:hint="eastAsia"/>
      </w:rPr>
    </w:lvl>
  </w:abstractNum>
  <w:abstractNum w:abstractNumId="1">
    <w:nsid w:val="203E7C7C"/>
    <w:multiLevelType w:val="singleLevel"/>
    <w:tmpl w:val="203E7C7C"/>
    <w:lvl w:ilvl="0" w:tentative="0">
      <w:start w:val="1"/>
      <w:numFmt w:val="decimal"/>
      <w:suff w:val="nothing"/>
      <w:lvlText w:val="（%1）"/>
      <w:lvlJc w:val="left"/>
    </w:lvl>
  </w:abstractNum>
  <w:abstractNum w:abstractNumId="2">
    <w:nsid w:val="5B485E7F"/>
    <w:multiLevelType w:val="singleLevel"/>
    <w:tmpl w:val="5B485E7F"/>
    <w:lvl w:ilvl="0" w:tentative="0">
      <w:start w:val="2"/>
      <w:numFmt w:val="decimal"/>
      <w:lvlText w:val="%1."/>
      <w:lvlJc w:val="left"/>
      <w:pPr>
        <w:tabs>
          <w:tab w:val="left" w:pos="312"/>
        </w:tabs>
      </w:pPr>
    </w:lvl>
  </w:abstractNum>
  <w:abstractNum w:abstractNumId="3">
    <w:nsid w:val="726694E3"/>
    <w:multiLevelType w:val="singleLevel"/>
    <w:tmpl w:val="726694E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ZTMyMjg3M2ZhMzBiYjc5ZmZhMjgzNmRlYWZiMDkifQ=="/>
  </w:docVars>
  <w:rsids>
    <w:rsidRoot w:val="69C65BDC"/>
    <w:rsid w:val="23E630C3"/>
    <w:rsid w:val="253D405D"/>
    <w:rsid w:val="3C897CFB"/>
    <w:rsid w:val="69C65BDC"/>
    <w:rsid w:val="6C4B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szCs w:val="24"/>
    </w:rPr>
  </w:style>
  <w:style w:type="paragraph" w:customStyle="1" w:styleId="8">
    <w:name w:val="无间隔1"/>
    <w:unhideWhenUsed/>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Heading #2|1"/>
    <w:basedOn w:val="1"/>
    <w:qFormat/>
    <w:uiPriority w:val="0"/>
    <w:pPr>
      <w:spacing w:after="540" w:line="611" w:lineRule="exact"/>
      <w:jc w:val="center"/>
      <w:outlineLvl w:val="1"/>
    </w:pPr>
    <w:rPr>
      <w:rFonts w:ascii="宋体" w:hAnsi="宋体" w:cs="宋体"/>
      <w:color w:val="000000"/>
      <w:kern w:val="0"/>
      <w:sz w:val="42"/>
      <w:szCs w:val="42"/>
      <w:lang w:val="zh-TW" w:eastAsia="zh-TW" w:bidi="zh-TW"/>
    </w:rPr>
  </w:style>
  <w:style w:type="paragraph" w:styleId="10">
    <w:name w:val="List Paragraph"/>
    <w:basedOn w:val="1"/>
    <w:qFormat/>
    <w:uiPriority w:val="34"/>
    <w:pPr>
      <w:ind w:firstLine="420" w:firstLineChars="200"/>
      <w:jc w:val="left"/>
    </w:pPr>
    <w:rPr>
      <w:rFonts w:eastAsia="Times New Roman"/>
      <w:color w:val="000000"/>
      <w:kern w:val="0"/>
      <w:sz w:val="24"/>
      <w:szCs w:val="24"/>
      <w:lang w:eastAsia="en-US" w:bidi="en-US"/>
    </w:rPr>
  </w:style>
  <w:style w:type="paragraph" w:customStyle="1" w:styleId="11">
    <w:name w:val="Header or footer|2"/>
    <w:basedOn w:val="1"/>
    <w:qFormat/>
    <w:uiPriority w:val="0"/>
    <w:pPr>
      <w:jc w:val="left"/>
    </w:pPr>
    <w:rPr>
      <w:rFonts w:eastAsia="Times New Roman"/>
      <w:color w:val="000000"/>
      <w:kern w:val="0"/>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60060</Words>
  <Characters>63213</Characters>
  <Lines>0</Lines>
  <Paragraphs>0</Paragraphs>
  <TotalTime>8</TotalTime>
  <ScaleCrop>false</ScaleCrop>
  <LinksUpToDate>false</LinksUpToDate>
  <CharactersWithSpaces>64202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2022-06-10T02:46:00Z</dcterms:created>
  <dc:creator>姜洪涛</dc:creator>
  <cp:lastModifiedBy>姜洪涛</cp:lastModifiedBy>
  <dcterms:modified xsi:type="dcterms:W3CDTF">2022-06-10T03:17:13Z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4BD07E96C1E84A87A87F3D5B63F45AA9</vt:lpwstr>
  </property>
</Properties>
</file>